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78A98" w14:textId="27A236EC" w:rsidR="00AC4845" w:rsidRPr="00DC337B" w:rsidRDefault="00252147" w:rsidP="00B217EB">
      <w:pPr>
        <w:autoSpaceDE w:val="0"/>
        <w:autoSpaceDN w:val="0"/>
        <w:adjustRightInd w:val="0"/>
        <w:rPr>
          <w:color w:val="000000"/>
          <w:sz w:val="36"/>
          <w:szCs w:val="36"/>
          <w:lang w:val="en-US"/>
        </w:rPr>
      </w:pPr>
      <w:bookmarkStart w:id="0" w:name="_Toc155758480"/>
      <w:r>
        <w:rPr>
          <w:noProof/>
          <w:lang w:eastAsia="en-GB"/>
        </w:rPr>
        <w:drawing>
          <wp:anchor distT="0" distB="0" distL="114300" distR="114300" simplePos="0" relativeHeight="251658240" behindDoc="0" locked="0" layoutInCell="1" allowOverlap="1" wp14:anchorId="17EB7C41" wp14:editId="1521BA27">
            <wp:simplePos x="0" y="0"/>
            <wp:positionH relativeFrom="margin">
              <wp:align>right</wp:align>
            </wp:positionH>
            <wp:positionV relativeFrom="margin">
              <wp:align>top</wp:align>
            </wp:positionV>
            <wp:extent cx="3048000" cy="1475105"/>
            <wp:effectExtent l="0" t="0" r="0" b="0"/>
            <wp:wrapSquare wrapText="bothSides"/>
            <wp:docPr id="1220552763" name="Picture 122055276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552763" name="Picture 1220552763" descr="A close-up of a logo&#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1475105"/>
                    </a:xfrm>
                    <a:prstGeom prst="rect">
                      <a:avLst/>
                    </a:prstGeom>
                    <a:noFill/>
                  </pic:spPr>
                </pic:pic>
              </a:graphicData>
            </a:graphic>
            <wp14:sizeRelH relativeFrom="page">
              <wp14:pctWidth>0</wp14:pctWidth>
            </wp14:sizeRelH>
            <wp14:sizeRelV relativeFrom="page">
              <wp14:pctHeight>0</wp14:pctHeight>
            </wp14:sizeRelV>
          </wp:anchor>
        </w:drawing>
      </w:r>
    </w:p>
    <w:p w14:paraId="13385C6A" w14:textId="64204450" w:rsidR="00AC4845" w:rsidRDefault="00AC4845" w:rsidP="00B217EB">
      <w:pPr>
        <w:autoSpaceDE w:val="0"/>
        <w:autoSpaceDN w:val="0"/>
        <w:adjustRightInd w:val="0"/>
        <w:rPr>
          <w:b/>
          <w:bCs/>
          <w:color w:val="000000"/>
          <w:sz w:val="36"/>
          <w:szCs w:val="36"/>
          <w:lang w:val="en-US"/>
        </w:rPr>
      </w:pPr>
    </w:p>
    <w:p w14:paraId="0B23C39C" w14:textId="0B87B2E5" w:rsidR="00AC4845" w:rsidRDefault="00AC4845" w:rsidP="00B217EB">
      <w:pPr>
        <w:autoSpaceDE w:val="0"/>
        <w:autoSpaceDN w:val="0"/>
        <w:adjustRightInd w:val="0"/>
        <w:rPr>
          <w:b/>
          <w:bCs/>
          <w:color w:val="000000"/>
          <w:sz w:val="36"/>
          <w:szCs w:val="36"/>
          <w:lang w:val="en-US"/>
        </w:rPr>
      </w:pPr>
    </w:p>
    <w:p w14:paraId="59087B91" w14:textId="4DA7562F" w:rsidR="00956A16" w:rsidRDefault="00956A16" w:rsidP="00B217EB">
      <w:pPr>
        <w:autoSpaceDE w:val="0"/>
        <w:autoSpaceDN w:val="0"/>
        <w:adjustRightInd w:val="0"/>
        <w:rPr>
          <w:b/>
          <w:bCs/>
          <w:color w:val="000000"/>
          <w:sz w:val="36"/>
          <w:szCs w:val="36"/>
          <w:lang w:val="en-US"/>
        </w:rPr>
      </w:pPr>
    </w:p>
    <w:p w14:paraId="08762CC0" w14:textId="77777777" w:rsidR="00956A16" w:rsidRDefault="00956A16" w:rsidP="00B217EB">
      <w:pPr>
        <w:autoSpaceDE w:val="0"/>
        <w:autoSpaceDN w:val="0"/>
        <w:adjustRightInd w:val="0"/>
        <w:rPr>
          <w:b/>
          <w:bCs/>
          <w:color w:val="000000"/>
          <w:sz w:val="36"/>
          <w:szCs w:val="36"/>
          <w:lang w:val="en-US"/>
        </w:rPr>
      </w:pPr>
    </w:p>
    <w:p w14:paraId="57081343" w14:textId="77777777" w:rsidR="00956A16" w:rsidRDefault="00956A16" w:rsidP="00B217EB">
      <w:pPr>
        <w:autoSpaceDE w:val="0"/>
        <w:autoSpaceDN w:val="0"/>
        <w:adjustRightInd w:val="0"/>
        <w:rPr>
          <w:b/>
          <w:bCs/>
          <w:color w:val="000000"/>
          <w:sz w:val="36"/>
          <w:szCs w:val="36"/>
          <w:lang w:val="en-US"/>
        </w:rPr>
      </w:pPr>
    </w:p>
    <w:p w14:paraId="4FE83D66" w14:textId="77777777" w:rsidR="00956A16" w:rsidRDefault="00956A16" w:rsidP="00B217EB">
      <w:pPr>
        <w:autoSpaceDE w:val="0"/>
        <w:autoSpaceDN w:val="0"/>
        <w:adjustRightInd w:val="0"/>
        <w:rPr>
          <w:b/>
          <w:bCs/>
          <w:color w:val="000000"/>
          <w:sz w:val="36"/>
          <w:szCs w:val="36"/>
          <w:lang w:val="en-US"/>
        </w:rPr>
      </w:pPr>
    </w:p>
    <w:p w14:paraId="5A8EB6ED" w14:textId="77777777" w:rsidR="00956A16" w:rsidRDefault="00956A16" w:rsidP="00B217EB">
      <w:pPr>
        <w:autoSpaceDE w:val="0"/>
        <w:autoSpaceDN w:val="0"/>
        <w:adjustRightInd w:val="0"/>
        <w:rPr>
          <w:b/>
          <w:bCs/>
          <w:color w:val="000000"/>
          <w:sz w:val="36"/>
          <w:szCs w:val="36"/>
          <w:lang w:val="en-US"/>
        </w:rPr>
      </w:pPr>
    </w:p>
    <w:p w14:paraId="6BD8A264" w14:textId="77777777" w:rsidR="00956A16" w:rsidRDefault="00956A16" w:rsidP="00B217EB">
      <w:pPr>
        <w:autoSpaceDE w:val="0"/>
        <w:autoSpaceDN w:val="0"/>
        <w:adjustRightInd w:val="0"/>
        <w:rPr>
          <w:b/>
          <w:bCs/>
          <w:color w:val="000000"/>
          <w:sz w:val="36"/>
          <w:szCs w:val="36"/>
          <w:lang w:val="en-US"/>
        </w:rPr>
      </w:pPr>
    </w:p>
    <w:p w14:paraId="118B2906" w14:textId="77777777" w:rsidR="00956A16" w:rsidRDefault="00956A16" w:rsidP="00B217EB">
      <w:pPr>
        <w:autoSpaceDE w:val="0"/>
        <w:autoSpaceDN w:val="0"/>
        <w:adjustRightInd w:val="0"/>
        <w:rPr>
          <w:b/>
          <w:bCs/>
          <w:color w:val="000000"/>
          <w:sz w:val="36"/>
          <w:szCs w:val="36"/>
          <w:lang w:val="en-US"/>
        </w:rPr>
      </w:pPr>
    </w:p>
    <w:tbl>
      <w:tblPr>
        <w:tblW w:w="5000" w:type="pct"/>
        <w:jc w:val="center"/>
        <w:tblLook w:val="04A0" w:firstRow="1" w:lastRow="0" w:firstColumn="1" w:lastColumn="0" w:noHBand="0" w:noVBand="1"/>
      </w:tblPr>
      <w:tblGrid>
        <w:gridCol w:w="9027"/>
      </w:tblGrid>
      <w:tr w:rsidR="00AD5655" w:rsidRPr="004324E2" w14:paraId="2BD3BE1A" w14:textId="77777777" w:rsidTr="00125082">
        <w:trPr>
          <w:trHeight w:val="1440"/>
          <w:jc w:val="center"/>
        </w:trPr>
        <w:tc>
          <w:tcPr>
            <w:tcW w:w="5000" w:type="pct"/>
            <w:tcBorders>
              <w:bottom w:val="single" w:sz="4" w:space="0" w:color="4F81BD"/>
            </w:tcBorders>
            <w:vAlign w:val="center"/>
          </w:tcPr>
          <w:p w14:paraId="25BB8985" w14:textId="77777777" w:rsidR="00AD5655" w:rsidRDefault="00AD5655" w:rsidP="00AD5655">
            <w:pPr>
              <w:jc w:val="center"/>
              <w:rPr>
                <w:b/>
                <w:color w:val="1F497D"/>
                <w:sz w:val="72"/>
                <w:szCs w:val="72"/>
                <w:lang w:eastAsia="ja-JP"/>
              </w:rPr>
            </w:pPr>
            <w:r>
              <w:rPr>
                <w:b/>
                <w:color w:val="1F497D"/>
                <w:sz w:val="72"/>
                <w:szCs w:val="72"/>
                <w:lang w:eastAsia="ja-JP"/>
              </w:rPr>
              <w:t>Pay Policy for</w:t>
            </w:r>
          </w:p>
          <w:p w14:paraId="26976FDC" w14:textId="0B39D593" w:rsidR="00AD5655" w:rsidRDefault="00AD5655" w:rsidP="00AD5655">
            <w:pPr>
              <w:jc w:val="center"/>
              <w:rPr>
                <w:b/>
                <w:color w:val="1F497D"/>
                <w:sz w:val="72"/>
                <w:szCs w:val="72"/>
                <w:lang w:eastAsia="ja-JP"/>
              </w:rPr>
            </w:pPr>
            <w:r>
              <w:rPr>
                <w:b/>
                <w:color w:val="1F497D"/>
                <w:sz w:val="72"/>
                <w:szCs w:val="72"/>
                <w:lang w:eastAsia="ja-JP"/>
              </w:rPr>
              <w:t>Teachers</w:t>
            </w:r>
          </w:p>
          <w:p w14:paraId="1AAB1BC6" w14:textId="77777777" w:rsidR="00AD5655" w:rsidRDefault="00AD5655" w:rsidP="00AD5655">
            <w:pPr>
              <w:jc w:val="center"/>
              <w:rPr>
                <w:b/>
                <w:bCs/>
                <w:color w:val="1F497D"/>
                <w:sz w:val="72"/>
                <w:szCs w:val="72"/>
                <w:lang w:eastAsia="ja-JP"/>
              </w:rPr>
            </w:pPr>
            <w:r w:rsidRPr="7615291D">
              <w:rPr>
                <w:b/>
                <w:bCs/>
                <w:color w:val="1F497D"/>
                <w:sz w:val="72"/>
                <w:szCs w:val="72"/>
                <w:lang w:eastAsia="ja-JP"/>
              </w:rPr>
              <w:t>(2025/2026)</w:t>
            </w:r>
          </w:p>
          <w:p w14:paraId="31552E08" w14:textId="77777777" w:rsidR="00AD5655" w:rsidRPr="004324E2" w:rsidRDefault="00AD5655" w:rsidP="00125082">
            <w:pPr>
              <w:jc w:val="center"/>
              <w:rPr>
                <w:color w:val="1F497D"/>
                <w:szCs w:val="24"/>
                <w:lang w:val="en-US" w:eastAsia="ja-JP"/>
              </w:rPr>
            </w:pPr>
          </w:p>
        </w:tc>
      </w:tr>
      <w:tr w:rsidR="00AD5655" w:rsidRPr="00965DCC" w14:paraId="1FFFDCA0" w14:textId="77777777" w:rsidTr="00125082">
        <w:trPr>
          <w:trHeight w:val="720"/>
          <w:jc w:val="center"/>
        </w:trPr>
        <w:tc>
          <w:tcPr>
            <w:tcW w:w="5000" w:type="pct"/>
            <w:tcBorders>
              <w:top w:val="single" w:sz="4" w:space="0" w:color="4F81BD"/>
            </w:tcBorders>
            <w:vAlign w:val="center"/>
          </w:tcPr>
          <w:p w14:paraId="7530B313" w14:textId="77777777" w:rsidR="00AD5655" w:rsidRPr="004324E2" w:rsidRDefault="00AD5655" w:rsidP="00125082">
            <w:pPr>
              <w:jc w:val="center"/>
              <w:rPr>
                <w:color w:val="1F497D"/>
                <w:sz w:val="56"/>
                <w:szCs w:val="56"/>
                <w:lang w:val="en-US" w:eastAsia="ja-JP"/>
              </w:rPr>
            </w:pPr>
          </w:p>
          <w:p w14:paraId="6852D29E" w14:textId="77777777" w:rsidR="00AD5655" w:rsidRPr="00AD5655" w:rsidRDefault="00AD5655" w:rsidP="00125082">
            <w:pPr>
              <w:jc w:val="center"/>
              <w:rPr>
                <w:b/>
                <w:color w:val="4F81BD"/>
                <w:sz w:val="44"/>
                <w:szCs w:val="44"/>
              </w:rPr>
            </w:pPr>
            <w:r w:rsidRPr="00AD5655">
              <w:rPr>
                <w:b/>
                <w:color w:val="4F81BD"/>
                <w:sz w:val="44"/>
                <w:szCs w:val="44"/>
              </w:rPr>
              <w:t xml:space="preserve">Model HR Policy and Procedure </w:t>
            </w:r>
          </w:p>
          <w:p w14:paraId="4C66D4D5" w14:textId="77777777" w:rsidR="00AD5655" w:rsidRPr="00965DCC" w:rsidRDefault="00AD5655" w:rsidP="00125082">
            <w:pPr>
              <w:jc w:val="center"/>
              <w:rPr>
                <w:b/>
                <w:color w:val="3399FF"/>
                <w:sz w:val="44"/>
                <w:szCs w:val="44"/>
                <w:lang w:val="en-US" w:eastAsia="ja-JP"/>
              </w:rPr>
            </w:pPr>
            <w:r w:rsidRPr="00AD5655">
              <w:rPr>
                <w:b/>
                <w:color w:val="4F81BD"/>
                <w:sz w:val="44"/>
                <w:szCs w:val="44"/>
              </w:rPr>
              <w:t>for Schools and Academies</w:t>
            </w:r>
          </w:p>
        </w:tc>
      </w:tr>
    </w:tbl>
    <w:p w14:paraId="11A79E6D" w14:textId="77777777" w:rsidR="00956A16" w:rsidRDefault="00956A16" w:rsidP="00B217EB">
      <w:pPr>
        <w:autoSpaceDE w:val="0"/>
        <w:autoSpaceDN w:val="0"/>
        <w:adjustRightInd w:val="0"/>
        <w:rPr>
          <w:b/>
          <w:bCs/>
          <w:color w:val="000000"/>
          <w:sz w:val="36"/>
          <w:szCs w:val="36"/>
          <w:lang w:val="en-US"/>
        </w:rPr>
      </w:pPr>
    </w:p>
    <w:p w14:paraId="094C1AE6" w14:textId="77777777" w:rsidR="00C552CE" w:rsidRDefault="00C552CE" w:rsidP="00C552CE">
      <w:pPr>
        <w:pStyle w:val="NoSpacing"/>
        <w:jc w:val="center"/>
        <w:rPr>
          <w:rFonts w:ascii="Arial" w:hAnsi="Arial"/>
          <w:b/>
          <w:bCs/>
          <w:color w:val="3399FF"/>
        </w:rPr>
      </w:pPr>
    </w:p>
    <w:p w14:paraId="5B3AA7F6" w14:textId="77777777" w:rsidR="00C552CE" w:rsidRDefault="00C552CE" w:rsidP="00C552CE">
      <w:pPr>
        <w:pStyle w:val="NoSpacing"/>
        <w:jc w:val="center"/>
        <w:rPr>
          <w:rFonts w:ascii="Arial" w:hAnsi="Arial"/>
          <w:b/>
          <w:bCs/>
          <w:color w:val="3399FF"/>
        </w:rPr>
      </w:pPr>
    </w:p>
    <w:p w14:paraId="6416A364" w14:textId="77777777" w:rsidR="00C552CE" w:rsidRDefault="00C552CE" w:rsidP="00C552CE">
      <w:pPr>
        <w:pStyle w:val="NoSpacing"/>
        <w:jc w:val="center"/>
        <w:rPr>
          <w:rFonts w:ascii="Arial" w:hAnsi="Arial"/>
          <w:b/>
          <w:bCs/>
          <w:color w:val="3399FF"/>
        </w:rPr>
      </w:pPr>
    </w:p>
    <w:p w14:paraId="0121E480" w14:textId="77777777" w:rsidR="00C552CE" w:rsidRDefault="00C552CE" w:rsidP="00C552CE">
      <w:pPr>
        <w:pStyle w:val="NoSpacing"/>
        <w:jc w:val="center"/>
        <w:rPr>
          <w:rFonts w:ascii="Arial" w:hAnsi="Arial"/>
          <w:b/>
          <w:bCs/>
          <w:color w:val="3399FF"/>
        </w:rPr>
      </w:pPr>
    </w:p>
    <w:p w14:paraId="3764BAC0" w14:textId="77777777" w:rsidR="00C552CE" w:rsidRDefault="00C552CE" w:rsidP="00C552CE">
      <w:pPr>
        <w:pStyle w:val="NoSpacing"/>
        <w:jc w:val="center"/>
        <w:rPr>
          <w:rFonts w:ascii="Arial" w:hAnsi="Arial"/>
          <w:b/>
          <w:bCs/>
          <w:color w:val="3399FF"/>
        </w:rPr>
      </w:pPr>
    </w:p>
    <w:p w14:paraId="48820CC9" w14:textId="77777777" w:rsidR="00C552CE" w:rsidRDefault="00C552CE" w:rsidP="00C552CE">
      <w:pPr>
        <w:pStyle w:val="NoSpacing"/>
        <w:jc w:val="center"/>
        <w:rPr>
          <w:rFonts w:ascii="Arial" w:hAnsi="Arial"/>
          <w:b/>
          <w:bCs/>
          <w:color w:val="3399FF"/>
        </w:rPr>
      </w:pPr>
    </w:p>
    <w:p w14:paraId="3E3E1CDB" w14:textId="77777777" w:rsidR="00C552CE" w:rsidRDefault="00C552CE" w:rsidP="00C552CE">
      <w:pPr>
        <w:pStyle w:val="NoSpacing"/>
        <w:jc w:val="center"/>
        <w:rPr>
          <w:rFonts w:ascii="Arial" w:hAnsi="Arial"/>
          <w:b/>
          <w:bCs/>
          <w:color w:val="3399FF"/>
        </w:rPr>
      </w:pPr>
    </w:p>
    <w:p w14:paraId="5D96CBF8" w14:textId="77777777" w:rsidR="00C552CE" w:rsidRDefault="00C552CE" w:rsidP="00C552CE">
      <w:pPr>
        <w:pStyle w:val="NoSpacing"/>
        <w:jc w:val="center"/>
        <w:rPr>
          <w:rFonts w:ascii="Arial" w:hAnsi="Arial"/>
          <w:b/>
          <w:bCs/>
          <w:color w:val="3399FF"/>
        </w:rPr>
      </w:pPr>
    </w:p>
    <w:p w14:paraId="2FC3FD76" w14:textId="77777777" w:rsidR="00C552CE" w:rsidRDefault="00C552CE" w:rsidP="00C552CE">
      <w:pPr>
        <w:pStyle w:val="NoSpacing"/>
        <w:jc w:val="center"/>
        <w:rPr>
          <w:rFonts w:ascii="Arial" w:hAnsi="Arial"/>
          <w:b/>
          <w:bCs/>
          <w:color w:val="3399FF"/>
        </w:rPr>
      </w:pPr>
    </w:p>
    <w:p w14:paraId="6E90B2AC" w14:textId="77777777" w:rsidR="00C552CE" w:rsidRDefault="00C552CE" w:rsidP="00C552CE">
      <w:pPr>
        <w:pStyle w:val="NoSpacing"/>
        <w:jc w:val="center"/>
        <w:rPr>
          <w:rFonts w:ascii="Arial" w:hAnsi="Arial"/>
          <w:b/>
          <w:bCs/>
          <w:color w:val="3399FF"/>
        </w:rPr>
      </w:pPr>
    </w:p>
    <w:p w14:paraId="27204A4B" w14:textId="77777777" w:rsidR="00C552CE" w:rsidRDefault="00C552CE" w:rsidP="00C552CE">
      <w:pPr>
        <w:pStyle w:val="NoSpacing"/>
        <w:jc w:val="center"/>
        <w:rPr>
          <w:rFonts w:ascii="Arial" w:hAnsi="Arial"/>
          <w:b/>
          <w:bCs/>
          <w:color w:val="3399FF"/>
        </w:rPr>
      </w:pPr>
    </w:p>
    <w:p w14:paraId="4AA3F942" w14:textId="77777777" w:rsidR="00C552CE" w:rsidRDefault="00C552CE" w:rsidP="00C552CE">
      <w:pPr>
        <w:pStyle w:val="NoSpacing"/>
        <w:jc w:val="center"/>
        <w:rPr>
          <w:rFonts w:ascii="Arial" w:hAnsi="Arial"/>
          <w:b/>
          <w:bCs/>
          <w:color w:val="3399FF"/>
        </w:rPr>
      </w:pPr>
    </w:p>
    <w:p w14:paraId="45BF4EB0" w14:textId="77777777" w:rsidR="00C552CE" w:rsidRDefault="00C552CE" w:rsidP="00C552CE">
      <w:pPr>
        <w:pStyle w:val="NoSpacing"/>
        <w:jc w:val="center"/>
        <w:rPr>
          <w:rFonts w:ascii="Arial" w:hAnsi="Arial"/>
          <w:b/>
          <w:bCs/>
          <w:color w:val="3399FF"/>
        </w:rPr>
      </w:pPr>
    </w:p>
    <w:p w14:paraId="7E796224" w14:textId="77777777" w:rsidR="00C552CE" w:rsidRDefault="00C552CE" w:rsidP="00C552CE">
      <w:pPr>
        <w:pStyle w:val="NoSpacing"/>
        <w:jc w:val="center"/>
        <w:rPr>
          <w:rFonts w:ascii="Arial" w:hAnsi="Arial"/>
          <w:b/>
          <w:bCs/>
          <w:color w:val="3399FF"/>
        </w:rPr>
      </w:pPr>
    </w:p>
    <w:p w14:paraId="32A8F349" w14:textId="77777777" w:rsidR="00C552CE" w:rsidRDefault="00C552CE" w:rsidP="00C552CE">
      <w:pPr>
        <w:pStyle w:val="NoSpacing"/>
        <w:jc w:val="center"/>
        <w:rPr>
          <w:rFonts w:ascii="Arial" w:hAnsi="Arial"/>
          <w:b/>
          <w:bCs/>
          <w:color w:val="3399FF"/>
        </w:rPr>
      </w:pPr>
    </w:p>
    <w:p w14:paraId="45481BF4" w14:textId="77777777" w:rsidR="00C552CE" w:rsidRDefault="00C552CE" w:rsidP="00C552CE">
      <w:pPr>
        <w:pStyle w:val="NoSpacing"/>
        <w:jc w:val="center"/>
        <w:rPr>
          <w:rFonts w:ascii="Arial" w:hAnsi="Arial"/>
          <w:b/>
          <w:bCs/>
          <w:color w:val="3399FF"/>
        </w:rPr>
      </w:pPr>
    </w:p>
    <w:p w14:paraId="63FFBDEE" w14:textId="1689F351" w:rsidR="00C552CE" w:rsidRDefault="00C552CE" w:rsidP="00C552CE">
      <w:pPr>
        <w:pStyle w:val="NoSpacing"/>
        <w:jc w:val="center"/>
        <w:rPr>
          <w:rFonts w:ascii="Arial" w:hAnsi="Arial"/>
          <w:b/>
          <w:bCs/>
          <w:color w:val="3399FF"/>
        </w:rPr>
      </w:pPr>
      <w:r w:rsidRPr="7615291D">
        <w:rPr>
          <w:rFonts w:ascii="Arial" w:hAnsi="Arial"/>
          <w:b/>
          <w:bCs/>
          <w:color w:val="3399FF"/>
        </w:rPr>
        <w:t>Last Reviewed: September 2025</w:t>
      </w:r>
    </w:p>
    <w:p w14:paraId="652646A0" w14:textId="77777777" w:rsidR="00C552CE" w:rsidRDefault="00C552CE" w:rsidP="00C552CE">
      <w:pPr>
        <w:pStyle w:val="NoSpacing"/>
        <w:jc w:val="center"/>
        <w:rPr>
          <w:rFonts w:ascii="Arial" w:hAnsi="Arial"/>
          <w:b/>
          <w:bCs/>
          <w:color w:val="3399FF"/>
        </w:rPr>
      </w:pPr>
    </w:p>
    <w:p w14:paraId="087048F0" w14:textId="347E1F22" w:rsidR="00C552CE" w:rsidRPr="002657F9" w:rsidRDefault="00C552CE" w:rsidP="00C552CE">
      <w:pPr>
        <w:pStyle w:val="NoSpacing"/>
        <w:jc w:val="center"/>
        <w:rPr>
          <w:rFonts w:ascii="Arial" w:hAnsi="Arial"/>
          <w:b/>
          <w:bCs/>
          <w:color w:val="3399FF"/>
          <w:lang w:val="en-GB"/>
        </w:rPr>
      </w:pPr>
      <w:r w:rsidRPr="00CF3BB2">
        <w:rPr>
          <w:rFonts w:ascii="Arial" w:hAnsi="Arial"/>
          <w:b/>
          <w:bCs/>
          <w:color w:val="3399FF"/>
          <w:lang w:val="en-GB"/>
        </w:rPr>
        <w:t>Date Adopted by Governing Board:</w:t>
      </w:r>
      <w:r w:rsidR="00AD4B38">
        <w:rPr>
          <w:rFonts w:ascii="Arial" w:hAnsi="Arial"/>
          <w:b/>
          <w:bCs/>
          <w:color w:val="3399FF"/>
          <w:lang w:val="en-GB"/>
        </w:rPr>
        <w:t xml:space="preserve"> 13.11.2025</w:t>
      </w:r>
    </w:p>
    <w:p w14:paraId="3C28142E" w14:textId="7613E573" w:rsidR="00B217EB" w:rsidRPr="0010636F" w:rsidRDefault="00B217EB" w:rsidP="00B217EB">
      <w:pPr>
        <w:autoSpaceDE w:val="0"/>
        <w:autoSpaceDN w:val="0"/>
        <w:adjustRightInd w:val="0"/>
        <w:rPr>
          <w:b/>
          <w:bCs/>
          <w:color w:val="000000"/>
          <w:sz w:val="36"/>
          <w:szCs w:val="36"/>
          <w:lang w:val="en-US"/>
        </w:rPr>
      </w:pPr>
      <w:r w:rsidRPr="0010636F">
        <w:rPr>
          <w:b/>
          <w:bCs/>
          <w:color w:val="000000"/>
          <w:sz w:val="36"/>
          <w:szCs w:val="36"/>
          <w:lang w:val="en-US"/>
        </w:rPr>
        <w:lastRenderedPageBreak/>
        <w:t>Policy Outline</w:t>
      </w:r>
    </w:p>
    <w:p w14:paraId="689AEB2C" w14:textId="77777777" w:rsidR="00B217EB" w:rsidRPr="0010636F" w:rsidRDefault="00B217EB" w:rsidP="00B217EB">
      <w:pPr>
        <w:keepNext/>
        <w:outlineLvl w:val="0"/>
        <w:rPr>
          <w:b/>
          <w:bCs/>
          <w:kern w:val="32"/>
          <w:szCs w:val="24"/>
          <w:lang w:val="en-US"/>
        </w:rPr>
      </w:pPr>
      <w:bookmarkStart w:id="1" w:name="_1.1_Policy_Statement"/>
      <w:bookmarkEnd w:id="1"/>
    </w:p>
    <w:p w14:paraId="1A3CD53F" w14:textId="77777777" w:rsidR="00B217EB" w:rsidRPr="0010636F" w:rsidRDefault="00B217EB" w:rsidP="00827388">
      <w:pPr>
        <w:keepNext/>
        <w:outlineLvl w:val="0"/>
        <w:rPr>
          <w:rFonts w:ascii="Times New Roman" w:hAnsi="Times New Roman" w:cs="Times New Roman"/>
          <w:szCs w:val="24"/>
          <w:lang w:val="en-US"/>
        </w:rPr>
      </w:pPr>
      <w:bookmarkStart w:id="2" w:name="_1.3"/>
      <w:bookmarkStart w:id="3" w:name="_1.4_Reviewing_the"/>
      <w:bookmarkEnd w:id="2"/>
      <w:bookmarkEnd w:id="3"/>
      <w:r w:rsidRPr="0010636F">
        <w:rPr>
          <w:b/>
          <w:bCs/>
          <w:kern w:val="32"/>
          <w:szCs w:val="24"/>
          <w:lang w:val="en-US"/>
        </w:rPr>
        <w:t xml:space="preserve">Reviewing the Policy </w:t>
      </w:r>
    </w:p>
    <w:p w14:paraId="2ACD98B2" w14:textId="54028053" w:rsidR="00B217EB" w:rsidRPr="0010636F" w:rsidRDefault="00B217EB" w:rsidP="00B217EB">
      <w:r>
        <w:t xml:space="preserve">TfC </w:t>
      </w:r>
      <w:r w:rsidR="78B2022C">
        <w:t>People Services</w:t>
      </w:r>
      <w:r>
        <w:t xml:space="preserve"> </w:t>
      </w:r>
      <w:r w:rsidR="00827388">
        <w:t xml:space="preserve">Team </w:t>
      </w:r>
      <w:r>
        <w:t>will keep the operation of this policy under review and will make such changes to the policy as deemed appropriate following consultation with the trade unions, where appropriate.</w:t>
      </w:r>
    </w:p>
    <w:p w14:paraId="2C67B118" w14:textId="77777777" w:rsidR="00B217EB" w:rsidRPr="0010636F" w:rsidRDefault="00B217EB" w:rsidP="00B217EB">
      <w:pPr>
        <w:rPr>
          <w:szCs w:val="24"/>
        </w:rPr>
      </w:pPr>
    </w:p>
    <w:p w14:paraId="2101A3B0" w14:textId="77777777" w:rsidR="00B217EB" w:rsidRPr="0010636F" w:rsidRDefault="00B217EB" w:rsidP="00B217EB">
      <w:pPr>
        <w:rPr>
          <w:b/>
          <w:szCs w:val="24"/>
          <w:lang w:val="en-US"/>
        </w:rPr>
      </w:pPr>
      <w:r w:rsidRPr="0010636F">
        <w:rPr>
          <w:b/>
          <w:szCs w:val="24"/>
        </w:rPr>
        <w:t>Personalising</w:t>
      </w:r>
      <w:r w:rsidRPr="0010636F">
        <w:rPr>
          <w:b/>
          <w:szCs w:val="24"/>
          <w:lang w:val="en-US"/>
        </w:rPr>
        <w:t xml:space="preserve"> the Policy</w:t>
      </w:r>
    </w:p>
    <w:p w14:paraId="56F152BB" w14:textId="249D0608" w:rsidR="00B25D97" w:rsidRPr="00B25D97" w:rsidRDefault="00B25D97" w:rsidP="11E6AE06">
      <w:pPr>
        <w:rPr>
          <w:lang w:val="en-US"/>
        </w:rPr>
      </w:pPr>
      <w:r w:rsidRPr="11E6AE06">
        <w:rPr>
          <w:lang w:val="en-US"/>
        </w:rPr>
        <w:t xml:space="preserve">TfC </w:t>
      </w:r>
      <w:r w:rsidR="61C5A6F6" w:rsidRPr="11E6AE06">
        <w:rPr>
          <w:lang w:val="en-US"/>
        </w:rPr>
        <w:t>People Services</w:t>
      </w:r>
      <w:r w:rsidRPr="11E6AE06">
        <w:rPr>
          <w:lang w:val="en-US"/>
        </w:rPr>
        <w:t xml:space="preserve"> Team has developed </w:t>
      </w:r>
      <w:proofErr w:type="gramStart"/>
      <w:r w:rsidRPr="11E6AE06">
        <w:rPr>
          <w:lang w:val="en-US"/>
        </w:rPr>
        <w:t>a number of</w:t>
      </w:r>
      <w:proofErr w:type="gramEnd"/>
      <w:r w:rsidRPr="11E6AE06">
        <w:rPr>
          <w:lang w:val="en-US"/>
        </w:rPr>
        <w:t xml:space="preserve"> </w:t>
      </w:r>
      <w:proofErr w:type="gramStart"/>
      <w:r w:rsidRPr="11E6AE06">
        <w:rPr>
          <w:lang w:val="en-US"/>
        </w:rPr>
        <w:t>model</w:t>
      </w:r>
      <w:proofErr w:type="gramEnd"/>
      <w:r w:rsidRPr="11E6AE06">
        <w:rPr>
          <w:lang w:val="en-US"/>
        </w:rPr>
        <w:t xml:space="preserve"> policies for schools and academies to consider and adopt as their own.  There are </w:t>
      </w:r>
      <w:proofErr w:type="gramStart"/>
      <w:r w:rsidRPr="11E6AE06">
        <w:rPr>
          <w:lang w:val="en-US"/>
        </w:rPr>
        <w:t>a number of</w:t>
      </w:r>
      <w:proofErr w:type="gramEnd"/>
      <w:r w:rsidRPr="11E6AE06">
        <w:rPr>
          <w:lang w:val="en-US"/>
        </w:rPr>
        <w:t xml:space="preserve"> sections within this policy which require either amendments and/or deletion to the specific paragraphs to ensure the policy is accurate in setting out your operational requirements.  We advise that these sections are amended prior to the policy being adopted.</w:t>
      </w:r>
      <w:r w:rsidR="00C149CF" w:rsidRPr="11E6AE06">
        <w:rPr>
          <w:lang w:val="en-US"/>
        </w:rPr>
        <w:t xml:space="preserve">  The relevant sections are outlined below and are highlighted within the body of the report.</w:t>
      </w:r>
    </w:p>
    <w:p w14:paraId="02FFA7D4" w14:textId="77777777" w:rsidR="00B25D97" w:rsidRPr="00B25D97" w:rsidRDefault="00B25D97" w:rsidP="00B25D97">
      <w:pPr>
        <w:rPr>
          <w:szCs w:val="24"/>
          <w:lang w:val="en-US"/>
        </w:rPr>
      </w:pPr>
    </w:p>
    <w:p w14:paraId="467B462E" w14:textId="41222DF7" w:rsidR="00B25D97" w:rsidRPr="00B25D97" w:rsidRDefault="00B25D97" w:rsidP="00B25D97">
      <w:pPr>
        <w:rPr>
          <w:szCs w:val="24"/>
          <w:lang w:val="en-US"/>
        </w:rPr>
      </w:pPr>
      <w:r w:rsidRPr="00B25D97">
        <w:rPr>
          <w:szCs w:val="24"/>
          <w:lang w:val="en-US"/>
        </w:rPr>
        <w:t xml:space="preserve">The relevant sections in this policy we advise you consider </w:t>
      </w:r>
      <w:proofErr w:type="gramStart"/>
      <w:r w:rsidRPr="00B25D97">
        <w:rPr>
          <w:szCs w:val="24"/>
          <w:lang w:val="en-US"/>
        </w:rPr>
        <w:t>are;</w:t>
      </w:r>
      <w:proofErr w:type="gramEnd"/>
    </w:p>
    <w:p w14:paraId="02402E34" w14:textId="58677992" w:rsidR="00B25D97" w:rsidRDefault="00B25D97" w:rsidP="00B25D97">
      <w:pPr>
        <w:rPr>
          <w:szCs w:val="24"/>
        </w:rPr>
      </w:pPr>
      <w:hyperlink w:anchor="REVsec1" w:history="1">
        <w:r w:rsidRPr="00B25D97">
          <w:rPr>
            <w:rStyle w:val="Hyperlink"/>
            <w:szCs w:val="24"/>
            <w:lang w:val="en-US"/>
          </w:rPr>
          <w:t>Section 1</w:t>
        </w:r>
      </w:hyperlink>
      <w:r>
        <w:rPr>
          <w:szCs w:val="24"/>
          <w:lang w:val="en-US"/>
        </w:rPr>
        <w:tab/>
      </w:r>
      <w:r w:rsidR="00C87818">
        <w:rPr>
          <w:szCs w:val="24"/>
          <w:lang w:val="en-US"/>
        </w:rPr>
        <w:tab/>
      </w:r>
      <w:r w:rsidRPr="00B25D97">
        <w:rPr>
          <w:szCs w:val="24"/>
          <w:lang w:val="en-US"/>
        </w:rPr>
        <w:t>Insert</w:t>
      </w:r>
      <w:r w:rsidRPr="00B25D97">
        <w:rPr>
          <w:szCs w:val="24"/>
        </w:rPr>
        <w:t xml:space="preserve"> any </w:t>
      </w:r>
      <w:proofErr w:type="gramStart"/>
      <w:r w:rsidRPr="00B25D97">
        <w:rPr>
          <w:szCs w:val="24"/>
        </w:rPr>
        <w:t>particular arrangements</w:t>
      </w:r>
      <w:proofErr w:type="gramEnd"/>
      <w:r w:rsidRPr="00B25D97">
        <w:rPr>
          <w:szCs w:val="24"/>
        </w:rPr>
        <w:t xml:space="preserve"> for your school</w:t>
      </w:r>
    </w:p>
    <w:p w14:paraId="2E3971B1" w14:textId="14AFB74D" w:rsidR="00671A82" w:rsidRPr="00671A82" w:rsidRDefault="00671A82" w:rsidP="585CE774">
      <w:pPr>
        <w:ind w:left="1440" w:hanging="1440"/>
        <w:rPr>
          <w:u w:val="single"/>
        </w:rPr>
      </w:pPr>
      <w:hyperlink w:anchor="GroupSize">
        <w:r w:rsidRPr="585CE774">
          <w:rPr>
            <w:rStyle w:val="Hyperlink"/>
          </w:rPr>
          <w:t>Section 1</w:t>
        </w:r>
        <w:r w:rsidR="00486117">
          <w:rPr>
            <w:rStyle w:val="Hyperlink"/>
          </w:rPr>
          <w:t>0</w:t>
        </w:r>
        <w:r w:rsidRPr="585CE774">
          <w:rPr>
            <w:rStyle w:val="Hyperlink"/>
          </w:rPr>
          <w:t>.6</w:t>
        </w:r>
      </w:hyperlink>
      <w:r w:rsidR="000218B3">
        <w:tab/>
      </w:r>
      <w:r w:rsidR="00C87818">
        <w:tab/>
      </w:r>
      <w:r w:rsidRPr="00CA34CA">
        <w:rPr>
          <w:rStyle w:val="Hyperlink"/>
          <w:color w:val="auto"/>
          <w:u w:val="none"/>
        </w:rPr>
        <w:t>Confirm the group size for the schoo</w:t>
      </w:r>
      <w:r w:rsidR="3E185166" w:rsidRPr="00CA34CA">
        <w:rPr>
          <w:rStyle w:val="Hyperlink"/>
          <w:color w:val="auto"/>
          <w:u w:val="none"/>
        </w:rPr>
        <w:t>l</w:t>
      </w:r>
    </w:p>
    <w:p w14:paraId="73392C0C" w14:textId="285AC98F" w:rsidR="00124D59" w:rsidRDefault="00CA34CA" w:rsidP="00671A82">
      <w:pPr>
        <w:ind w:left="2160" w:hanging="2160"/>
        <w:rPr>
          <w:szCs w:val="24"/>
        </w:rPr>
      </w:pPr>
      <w:hyperlink w:anchor="Section9" w:history="1">
        <w:r w:rsidRPr="00CA34CA">
          <w:rPr>
            <w:rStyle w:val="Hyperlink"/>
          </w:rPr>
          <w:t>Section 10.10</w:t>
        </w:r>
      </w:hyperlink>
      <w:r>
        <w:tab/>
        <w:t>L</w:t>
      </w:r>
      <w:r w:rsidR="00B25D97">
        <w:rPr>
          <w:szCs w:val="24"/>
        </w:rPr>
        <w:t xml:space="preserve">eadership - </w:t>
      </w:r>
      <w:r w:rsidR="00B25D97" w:rsidRPr="00B25D97">
        <w:rPr>
          <w:szCs w:val="24"/>
        </w:rPr>
        <w:t>determine how many points to leave to ensure ‘appropriate scope’ for progression</w:t>
      </w:r>
      <w:r w:rsidR="00124D59">
        <w:rPr>
          <w:szCs w:val="24"/>
        </w:rPr>
        <w:t xml:space="preserve"> </w:t>
      </w:r>
    </w:p>
    <w:p w14:paraId="17B5A3AD" w14:textId="6B2CC322" w:rsidR="009D0D69" w:rsidRPr="009D0D69" w:rsidRDefault="00CA34CA" w:rsidP="00671A82">
      <w:pPr>
        <w:ind w:left="2160" w:hanging="2160"/>
      </w:pPr>
      <w:hyperlink w:anchor="App4" w:history="1">
        <w:r w:rsidRPr="00CA34CA">
          <w:rPr>
            <w:rStyle w:val="Hyperlink"/>
          </w:rPr>
          <w:t>Section 10.11</w:t>
        </w:r>
      </w:hyperlink>
      <w:r>
        <w:tab/>
        <w:t>Sc</w:t>
      </w:r>
      <w:r w:rsidR="009D0D69" w:rsidRPr="585CE774">
        <w:rPr>
          <w:rStyle w:val="Hyperlink"/>
          <w:color w:val="auto"/>
          <w:u w:val="none"/>
        </w:rPr>
        <w:t xml:space="preserve">hool to confirm how many points </w:t>
      </w:r>
      <w:r w:rsidR="00CC1633" w:rsidRPr="585CE774">
        <w:rPr>
          <w:rStyle w:val="Hyperlink"/>
          <w:color w:val="auto"/>
          <w:u w:val="none"/>
        </w:rPr>
        <w:t>within the range for leadership posts</w:t>
      </w:r>
    </w:p>
    <w:p w14:paraId="735BBA2D" w14:textId="3417AF9C" w:rsidR="00124D59" w:rsidRDefault="00933F77" w:rsidP="00B25D97">
      <w:pPr>
        <w:ind w:left="1440" w:hanging="1440"/>
        <w:rPr>
          <w:szCs w:val="24"/>
        </w:rPr>
      </w:pPr>
      <w:hyperlink w:anchor="Section17" w:history="1">
        <w:r w:rsidRPr="0096515F">
          <w:rPr>
            <w:rStyle w:val="Hyperlink"/>
            <w:szCs w:val="24"/>
          </w:rPr>
          <w:t xml:space="preserve">Section </w:t>
        </w:r>
        <w:r w:rsidR="003531DE">
          <w:rPr>
            <w:rStyle w:val="Hyperlink"/>
            <w:szCs w:val="24"/>
          </w:rPr>
          <w:t>1</w:t>
        </w:r>
        <w:r w:rsidR="00486117">
          <w:rPr>
            <w:rStyle w:val="Hyperlink"/>
            <w:szCs w:val="24"/>
          </w:rPr>
          <w:t>4</w:t>
        </w:r>
      </w:hyperlink>
      <w:r w:rsidR="00124D59">
        <w:rPr>
          <w:szCs w:val="24"/>
        </w:rPr>
        <w:tab/>
      </w:r>
      <w:r w:rsidR="00C87818">
        <w:rPr>
          <w:szCs w:val="24"/>
        </w:rPr>
        <w:tab/>
      </w:r>
      <w:r w:rsidR="00124D59">
        <w:rPr>
          <w:szCs w:val="24"/>
        </w:rPr>
        <w:t xml:space="preserve">Include details relating to </w:t>
      </w:r>
      <w:r w:rsidR="00124D59" w:rsidRPr="0047080B">
        <w:rPr>
          <w:szCs w:val="24"/>
        </w:rPr>
        <w:t>Leading Practitioner Roles</w:t>
      </w:r>
      <w:r w:rsidR="00124D59">
        <w:rPr>
          <w:szCs w:val="24"/>
        </w:rPr>
        <w:t xml:space="preserve"> </w:t>
      </w:r>
    </w:p>
    <w:p w14:paraId="21023DD2" w14:textId="0BB8B4B7" w:rsidR="00B25D97" w:rsidRDefault="008F46C6" w:rsidP="00B25D97">
      <w:pPr>
        <w:ind w:left="1440" w:hanging="1440"/>
        <w:rPr>
          <w:szCs w:val="24"/>
        </w:rPr>
      </w:pPr>
      <w:hyperlink w:anchor="Section22" w:history="1">
        <w:r w:rsidRPr="0096515F">
          <w:rPr>
            <w:rStyle w:val="Hyperlink"/>
            <w:szCs w:val="24"/>
          </w:rPr>
          <w:t xml:space="preserve">Section </w:t>
        </w:r>
      </w:hyperlink>
      <w:r w:rsidR="00C87818">
        <w:rPr>
          <w:rStyle w:val="Hyperlink"/>
          <w:szCs w:val="24"/>
        </w:rPr>
        <w:t>18</w:t>
      </w:r>
      <w:r>
        <w:rPr>
          <w:szCs w:val="24"/>
        </w:rPr>
        <w:tab/>
      </w:r>
      <w:r w:rsidR="00C87818">
        <w:rPr>
          <w:szCs w:val="24"/>
        </w:rPr>
        <w:tab/>
      </w:r>
      <w:r w:rsidR="00124D59">
        <w:rPr>
          <w:szCs w:val="24"/>
        </w:rPr>
        <w:t xml:space="preserve">Set out payments for </w:t>
      </w:r>
      <w:r w:rsidR="00124D59" w:rsidRPr="0047080B">
        <w:rPr>
          <w:szCs w:val="24"/>
        </w:rPr>
        <w:t>SEN allowance</w:t>
      </w:r>
      <w:r w:rsidR="00124D59">
        <w:rPr>
          <w:szCs w:val="24"/>
        </w:rPr>
        <w:t xml:space="preserve"> </w:t>
      </w:r>
    </w:p>
    <w:p w14:paraId="6E0A634C" w14:textId="77777777" w:rsidR="00124D59" w:rsidRDefault="00124D59" w:rsidP="00B25D97">
      <w:pPr>
        <w:ind w:left="1440" w:hanging="1440"/>
        <w:rPr>
          <w:szCs w:val="24"/>
        </w:rPr>
      </w:pPr>
    </w:p>
    <w:p w14:paraId="1F905BCA" w14:textId="149E023F" w:rsidR="00B25D97" w:rsidRPr="00B25D97" w:rsidRDefault="00B25D97" w:rsidP="11E6AE06">
      <w:pPr>
        <w:rPr>
          <w:lang w:val="en-US"/>
        </w:rPr>
      </w:pPr>
      <w:r w:rsidRPr="11E6AE06">
        <w:rPr>
          <w:lang w:val="en-US"/>
        </w:rPr>
        <w:t xml:space="preserve">Consultation with </w:t>
      </w:r>
      <w:proofErr w:type="spellStart"/>
      <w:r w:rsidRPr="11E6AE06">
        <w:rPr>
          <w:lang w:val="en-US"/>
        </w:rPr>
        <w:t>recognised</w:t>
      </w:r>
      <w:proofErr w:type="spellEnd"/>
      <w:r w:rsidRPr="11E6AE06">
        <w:rPr>
          <w:lang w:val="en-US"/>
        </w:rPr>
        <w:t xml:space="preserve"> trade unions has been undertaken prior to the issuing of this model policy. Should you wish to make amendments to the contents of this policy (save for those as </w:t>
      </w:r>
      <w:proofErr w:type="gramStart"/>
      <w:r w:rsidRPr="11E6AE06">
        <w:rPr>
          <w:lang w:val="en-US"/>
        </w:rPr>
        <w:t>set-out</w:t>
      </w:r>
      <w:proofErr w:type="gramEnd"/>
      <w:r w:rsidRPr="11E6AE06">
        <w:rPr>
          <w:lang w:val="en-US"/>
        </w:rPr>
        <w:t xml:space="preserve"> above in ‘</w:t>
      </w:r>
      <w:r>
        <w:t>Personalising</w:t>
      </w:r>
      <w:r w:rsidRPr="11E6AE06">
        <w:rPr>
          <w:lang w:val="en-US"/>
        </w:rPr>
        <w:t xml:space="preserve"> the Policy’) then you </w:t>
      </w:r>
      <w:r w:rsidR="0033791D" w:rsidRPr="11E6AE06">
        <w:rPr>
          <w:lang w:val="en-US"/>
        </w:rPr>
        <w:t>should</w:t>
      </w:r>
      <w:r w:rsidR="008102B6" w:rsidRPr="11E6AE06">
        <w:rPr>
          <w:lang w:val="en-US"/>
        </w:rPr>
        <w:t xml:space="preserve"> undertake</w:t>
      </w:r>
      <w:r w:rsidRPr="11E6AE06">
        <w:rPr>
          <w:lang w:val="en-US"/>
        </w:rPr>
        <w:t xml:space="preserve"> further consultation with </w:t>
      </w:r>
      <w:proofErr w:type="spellStart"/>
      <w:r w:rsidRPr="11E6AE06">
        <w:rPr>
          <w:lang w:val="en-US"/>
        </w:rPr>
        <w:t>recognised</w:t>
      </w:r>
      <w:proofErr w:type="spellEnd"/>
      <w:r w:rsidRPr="11E6AE06">
        <w:rPr>
          <w:lang w:val="en-US"/>
        </w:rPr>
        <w:t xml:space="preserve"> trade unions.  Please seek advice from your allocated </w:t>
      </w:r>
      <w:r w:rsidR="30ABADAF" w:rsidRPr="11E6AE06">
        <w:rPr>
          <w:lang w:val="en-US"/>
        </w:rPr>
        <w:t>Business Partner</w:t>
      </w:r>
      <w:r w:rsidRPr="11E6AE06">
        <w:rPr>
          <w:lang w:val="en-US"/>
        </w:rPr>
        <w:t>.</w:t>
      </w:r>
    </w:p>
    <w:p w14:paraId="001E0D8F" w14:textId="77777777" w:rsidR="00B25D97" w:rsidRPr="00B25D97" w:rsidRDefault="00B25D97" w:rsidP="00B25D97">
      <w:pPr>
        <w:rPr>
          <w:szCs w:val="24"/>
          <w:lang w:val="en-US"/>
        </w:rPr>
      </w:pPr>
    </w:p>
    <w:p w14:paraId="1BFACAC4" w14:textId="77777777" w:rsidR="0096515F" w:rsidRDefault="0096515F" w:rsidP="0096515F">
      <w:pPr>
        <w:rPr>
          <w:szCs w:val="24"/>
          <w:lang w:val="en-US"/>
        </w:rPr>
      </w:pPr>
      <w:r w:rsidRPr="0096515F">
        <w:rPr>
          <w:szCs w:val="24"/>
          <w:lang w:val="en-US"/>
        </w:rPr>
        <w:t xml:space="preserve">In addition, the term ‘school’ referred to in this policy means: all schools whether maintained, non-maintained or independent schools (including academies, free schools and alternative provision academies), maintained nursery schools and pupil referral units. This term could be amended throughout the policy </w:t>
      </w:r>
      <w:proofErr w:type="gramStart"/>
      <w:r w:rsidRPr="0096515F">
        <w:rPr>
          <w:szCs w:val="24"/>
          <w:lang w:val="en-US"/>
        </w:rPr>
        <w:t>where</w:t>
      </w:r>
      <w:proofErr w:type="gramEnd"/>
      <w:r w:rsidRPr="0096515F">
        <w:rPr>
          <w:szCs w:val="24"/>
          <w:lang w:val="en-US"/>
        </w:rPr>
        <w:t xml:space="preserve"> deemed appropriate by the setting.</w:t>
      </w:r>
    </w:p>
    <w:p w14:paraId="7F41944C" w14:textId="77777777" w:rsidR="00A26CBF" w:rsidRDefault="00A26CBF" w:rsidP="0096515F">
      <w:pPr>
        <w:rPr>
          <w:szCs w:val="24"/>
          <w:lang w:val="en-US"/>
        </w:rPr>
      </w:pPr>
    </w:p>
    <w:p w14:paraId="11E320B2" w14:textId="77777777" w:rsidR="00A26CBF" w:rsidRDefault="00A26CBF" w:rsidP="0096515F">
      <w:pPr>
        <w:rPr>
          <w:szCs w:val="24"/>
          <w:lang w:val="en-US"/>
        </w:rPr>
      </w:pPr>
      <w:r>
        <w:rPr>
          <w:szCs w:val="24"/>
          <w:lang w:val="en-US"/>
        </w:rPr>
        <w:t xml:space="preserve">Where the term ‘teacher’ is used in this policy it </w:t>
      </w:r>
      <w:r w:rsidR="00814173">
        <w:rPr>
          <w:szCs w:val="24"/>
          <w:lang w:val="en-US"/>
        </w:rPr>
        <w:t>covers</w:t>
      </w:r>
      <w:r>
        <w:rPr>
          <w:szCs w:val="24"/>
          <w:lang w:val="en-US"/>
        </w:rPr>
        <w:t xml:space="preserve">, Teacher, Deputy Headteacher, Assistant </w:t>
      </w:r>
      <w:r w:rsidR="00814173">
        <w:rPr>
          <w:szCs w:val="24"/>
          <w:lang w:val="en-US"/>
        </w:rPr>
        <w:t xml:space="preserve">Headteacher </w:t>
      </w:r>
      <w:r>
        <w:rPr>
          <w:szCs w:val="24"/>
          <w:lang w:val="en-US"/>
        </w:rPr>
        <w:t xml:space="preserve">or Headteacher as appropriate.  Where the process is different </w:t>
      </w:r>
      <w:r w:rsidR="00814173">
        <w:rPr>
          <w:szCs w:val="24"/>
          <w:lang w:val="en-US"/>
        </w:rPr>
        <w:t xml:space="preserve">for different roles within </w:t>
      </w:r>
      <w:proofErr w:type="gramStart"/>
      <w:r w:rsidR="00814173">
        <w:rPr>
          <w:szCs w:val="24"/>
          <w:lang w:val="en-US"/>
        </w:rPr>
        <w:t>school</w:t>
      </w:r>
      <w:proofErr w:type="gramEnd"/>
      <w:r>
        <w:rPr>
          <w:szCs w:val="24"/>
          <w:lang w:val="en-US"/>
        </w:rPr>
        <w:t xml:space="preserve"> this will be made clear throughout the policy within the relevant section.</w:t>
      </w:r>
    </w:p>
    <w:p w14:paraId="33F417A9" w14:textId="77777777" w:rsidR="009A7C01" w:rsidRDefault="009A7C01" w:rsidP="0096515F">
      <w:pPr>
        <w:rPr>
          <w:szCs w:val="24"/>
          <w:lang w:val="en-US"/>
        </w:rPr>
      </w:pPr>
    </w:p>
    <w:p w14:paraId="4C544B2F" w14:textId="0C85EBF9" w:rsidR="009A7C01" w:rsidRPr="0096515F" w:rsidRDefault="001A008B" w:rsidP="0096515F">
      <w:pPr>
        <w:rPr>
          <w:szCs w:val="24"/>
          <w:lang w:val="en-US"/>
        </w:rPr>
      </w:pPr>
      <w:r w:rsidRPr="00CA34CA">
        <w:rPr>
          <w:szCs w:val="24"/>
          <w:lang w:val="en-US"/>
        </w:rPr>
        <w:t>The term ‘governing board’ referred to in this policy means governing bodies in local authority (LA) maintained schools and Trustees/Trust boards in an academy. Subject to the Articles of Association, some functions may be delegated to academy level committees, known local governing bodies – individual academies/MATs should ensure that the policy is amended to meet the requirements of their individual Scheme of Delegation.</w:t>
      </w:r>
    </w:p>
    <w:p w14:paraId="516A1485" w14:textId="77777777" w:rsidR="00B217EB" w:rsidRDefault="00B217EB" w:rsidP="00B217EB">
      <w:pPr>
        <w:rPr>
          <w:szCs w:val="24"/>
          <w:lang w:val="en-US"/>
        </w:rPr>
      </w:pPr>
    </w:p>
    <w:p w14:paraId="6DA21392" w14:textId="77777777" w:rsidR="005E6CC0" w:rsidRPr="00E73E92" w:rsidRDefault="00A26CBF" w:rsidP="00B217EB">
      <w:pPr>
        <w:rPr>
          <w:b/>
          <w:bCs/>
          <w:szCs w:val="24"/>
          <w:lang w:val="en-US"/>
        </w:rPr>
      </w:pPr>
      <w:r>
        <w:rPr>
          <w:b/>
          <w:bCs/>
          <w:szCs w:val="24"/>
          <w:lang w:val="en-US"/>
        </w:rPr>
        <w:t>Summary of Changes</w:t>
      </w:r>
    </w:p>
    <w:p w14:paraId="5DD05465" w14:textId="08967519" w:rsidR="005E6CC0" w:rsidRDefault="00B9006C" w:rsidP="1011A7CF">
      <w:pPr>
        <w:rPr>
          <w:lang w:val="en-US"/>
        </w:rPr>
      </w:pPr>
      <w:r w:rsidRPr="1011A7CF">
        <w:rPr>
          <w:kern w:val="32"/>
          <w:lang w:val="en-US"/>
        </w:rPr>
        <w:t>The changes are set</w:t>
      </w:r>
      <w:r w:rsidR="19A952EF" w:rsidRPr="1011A7CF">
        <w:rPr>
          <w:kern w:val="32"/>
          <w:lang w:val="en-US"/>
        </w:rPr>
        <w:t xml:space="preserve"> </w:t>
      </w:r>
      <w:r w:rsidRPr="1011A7CF">
        <w:rPr>
          <w:kern w:val="32"/>
          <w:lang w:val="en-US"/>
        </w:rPr>
        <w:t xml:space="preserve">out in </w:t>
      </w:r>
      <w:hyperlink w:anchor="App4" w:history="1">
        <w:r w:rsidR="00CA34CA" w:rsidRPr="00CA34CA">
          <w:rPr>
            <w:rStyle w:val="Hyperlink"/>
          </w:rPr>
          <w:t>Appendix 4</w:t>
        </w:r>
      </w:hyperlink>
    </w:p>
    <w:p w14:paraId="15E7EB7A" w14:textId="77777777" w:rsidR="00671A82" w:rsidRDefault="00671A82" w:rsidP="00B217EB">
      <w:pPr>
        <w:rPr>
          <w:szCs w:val="24"/>
          <w:lang w:val="en-US"/>
        </w:rPr>
      </w:pPr>
    </w:p>
    <w:p w14:paraId="340D5775" w14:textId="77777777" w:rsidR="00C1315A" w:rsidRPr="00C1315A" w:rsidRDefault="00C1315A" w:rsidP="00C1315A">
      <w:pPr>
        <w:rPr>
          <w:rFonts w:ascii="Calibri" w:hAnsi="Calibri" w:cs="Times New Roman"/>
          <w:b/>
          <w:bCs/>
          <w:sz w:val="22"/>
        </w:rPr>
      </w:pPr>
      <w:r>
        <w:rPr>
          <w:b/>
          <w:bCs/>
        </w:rPr>
        <w:t>Equality Impact Assessment</w:t>
      </w:r>
    </w:p>
    <w:p w14:paraId="7EE0F326" w14:textId="77777777" w:rsidR="00C1315A" w:rsidRDefault="00C1315A" w:rsidP="00C1315A">
      <w:pPr>
        <w:rPr>
          <w:rFonts w:ascii="Calibri" w:hAnsi="Calibri" w:cs="Calibri"/>
        </w:rPr>
      </w:pPr>
      <w:r>
        <w:t>As with all policies that affect service users, the wider community or employees, schools should undertake an analysis of the potential equality impacts and record that assessment.</w:t>
      </w:r>
    </w:p>
    <w:p w14:paraId="4696DF92" w14:textId="77777777" w:rsidR="00B217EB" w:rsidRDefault="00B217EB" w:rsidP="00B217EB">
      <w:pPr>
        <w:tabs>
          <w:tab w:val="center" w:pos="4153"/>
          <w:tab w:val="right" w:pos="8306"/>
        </w:tabs>
        <w:rPr>
          <w:b/>
          <w:color w:val="3399FF"/>
          <w:sz w:val="36"/>
          <w:szCs w:val="36"/>
        </w:rPr>
      </w:pPr>
      <w:bookmarkStart w:id="4" w:name="_1.5_Contacts_for"/>
      <w:bookmarkEnd w:id="4"/>
    </w:p>
    <w:p w14:paraId="4FB3C492" w14:textId="451B4663" w:rsidR="00B217EB" w:rsidRPr="0047080B" w:rsidRDefault="00A26CBF" w:rsidP="00B217EB">
      <w:pPr>
        <w:tabs>
          <w:tab w:val="center" w:pos="4153"/>
          <w:tab w:val="right" w:pos="8306"/>
        </w:tabs>
        <w:rPr>
          <w:b/>
          <w:sz w:val="36"/>
          <w:szCs w:val="36"/>
        </w:rPr>
      </w:pPr>
      <w:r>
        <w:rPr>
          <w:b/>
          <w:color w:val="3399FF"/>
          <w:sz w:val="36"/>
          <w:szCs w:val="36"/>
        </w:rPr>
        <w:br w:type="page"/>
      </w:r>
      <w:r w:rsidR="0047080B" w:rsidRPr="0047080B">
        <w:rPr>
          <w:b/>
          <w:sz w:val="36"/>
          <w:szCs w:val="36"/>
        </w:rPr>
        <w:lastRenderedPageBreak/>
        <w:t xml:space="preserve">Contents </w:t>
      </w:r>
    </w:p>
    <w:p w14:paraId="3E8901D6" w14:textId="77777777" w:rsidR="00B217EB" w:rsidRPr="007666D6" w:rsidRDefault="00B217EB" w:rsidP="00B217EB">
      <w:pPr>
        <w:tabs>
          <w:tab w:val="center" w:pos="4153"/>
          <w:tab w:val="right" w:pos="8306"/>
        </w:tabs>
        <w:rPr>
          <w:color w:val="3399FF"/>
          <w:szCs w:val="24"/>
        </w:rPr>
      </w:pPr>
    </w:p>
    <w:bookmarkEnd w:id="0"/>
    <w:p w14:paraId="29183EB1" w14:textId="77777777" w:rsidR="0047080B" w:rsidRPr="007666D6" w:rsidRDefault="007666D6" w:rsidP="007666D6">
      <w:pPr>
        <w:rPr>
          <w:szCs w:val="24"/>
        </w:rPr>
      </w:pPr>
      <w:r w:rsidRPr="007666D6">
        <w:rPr>
          <w:szCs w:val="24"/>
        </w:rPr>
        <w:t>1</w:t>
      </w:r>
      <w:r w:rsidRPr="007666D6">
        <w:rPr>
          <w:szCs w:val="24"/>
        </w:rPr>
        <w:tab/>
      </w:r>
      <w:hyperlink w:anchor="Intro" w:history="1">
        <w:r w:rsidRPr="007666D6">
          <w:rPr>
            <w:rStyle w:val="Hyperlink"/>
            <w:szCs w:val="24"/>
          </w:rPr>
          <w:t>Introduction</w:t>
        </w:r>
      </w:hyperlink>
    </w:p>
    <w:p w14:paraId="2229DEE0" w14:textId="77777777" w:rsidR="007666D6" w:rsidRDefault="007666D6" w:rsidP="007666D6">
      <w:pPr>
        <w:rPr>
          <w:szCs w:val="24"/>
        </w:rPr>
      </w:pPr>
      <w:r w:rsidRPr="007666D6">
        <w:rPr>
          <w:szCs w:val="24"/>
        </w:rPr>
        <w:t>2</w:t>
      </w:r>
      <w:r w:rsidRPr="007666D6">
        <w:rPr>
          <w:szCs w:val="24"/>
        </w:rPr>
        <w:tab/>
      </w:r>
      <w:hyperlink w:anchor="Legislation" w:history="1">
        <w:r w:rsidRPr="007666D6">
          <w:rPr>
            <w:rStyle w:val="Hyperlink"/>
            <w:szCs w:val="24"/>
          </w:rPr>
          <w:t>Legislation</w:t>
        </w:r>
      </w:hyperlink>
    </w:p>
    <w:p w14:paraId="3B57F14C" w14:textId="221EF65E" w:rsidR="006171E7" w:rsidRDefault="006171E7" w:rsidP="007666D6">
      <w:pPr>
        <w:rPr>
          <w:rStyle w:val="Hyperlink"/>
          <w:szCs w:val="24"/>
        </w:rPr>
      </w:pPr>
      <w:r w:rsidRPr="003531DE">
        <w:rPr>
          <w:szCs w:val="24"/>
        </w:rPr>
        <w:t>3</w:t>
      </w:r>
      <w:r w:rsidRPr="003531DE">
        <w:rPr>
          <w:szCs w:val="24"/>
        </w:rPr>
        <w:tab/>
      </w:r>
      <w:hyperlink w:anchor="Consistency" w:history="1">
        <w:r w:rsidRPr="004050E1">
          <w:rPr>
            <w:rStyle w:val="Hyperlink"/>
            <w:szCs w:val="24"/>
          </w:rPr>
          <w:t>Consistency of Treatment and Fairness</w:t>
        </w:r>
      </w:hyperlink>
    </w:p>
    <w:p w14:paraId="7AEE77BB" w14:textId="77777777" w:rsidR="00467DF3" w:rsidRDefault="00467DF3" w:rsidP="007666D6">
      <w:pPr>
        <w:rPr>
          <w:rStyle w:val="Hyperlink"/>
          <w:szCs w:val="24"/>
        </w:rPr>
      </w:pPr>
    </w:p>
    <w:p w14:paraId="4044D381" w14:textId="2F86F89A" w:rsidR="006C29C0" w:rsidRPr="00B82353" w:rsidRDefault="00A85E0F" w:rsidP="5ABB892E">
      <w:pPr>
        <w:rPr>
          <w:b/>
          <w:bCs/>
        </w:rPr>
      </w:pPr>
      <w:r w:rsidRPr="00B82353">
        <w:rPr>
          <w:rStyle w:val="Hyperlink"/>
          <w:b/>
          <w:bCs/>
          <w:szCs w:val="24"/>
          <w:u w:val="none"/>
        </w:rPr>
        <w:tab/>
      </w:r>
      <w:r w:rsidRPr="5ABB892E">
        <w:rPr>
          <w:rStyle w:val="Hyperlink"/>
          <w:b/>
          <w:bCs/>
          <w:color w:val="auto"/>
        </w:rPr>
        <w:t>PART ONE – 2</w:t>
      </w:r>
      <w:r w:rsidR="66607556" w:rsidRPr="5ABB892E">
        <w:rPr>
          <w:rStyle w:val="Hyperlink"/>
          <w:b/>
          <w:bCs/>
          <w:color w:val="auto"/>
        </w:rPr>
        <w:t>5</w:t>
      </w:r>
      <w:r w:rsidRPr="5ABB892E">
        <w:rPr>
          <w:rStyle w:val="Hyperlink"/>
          <w:b/>
          <w:bCs/>
          <w:color w:val="auto"/>
        </w:rPr>
        <w:t>/2</w:t>
      </w:r>
      <w:r w:rsidR="7882E40F" w:rsidRPr="5ABB892E">
        <w:rPr>
          <w:rStyle w:val="Hyperlink"/>
          <w:b/>
          <w:bCs/>
          <w:color w:val="auto"/>
        </w:rPr>
        <w:t>6</w:t>
      </w:r>
      <w:r w:rsidR="00CF25D5">
        <w:rPr>
          <w:rStyle w:val="Hyperlink"/>
          <w:b/>
          <w:bCs/>
          <w:color w:val="auto"/>
        </w:rPr>
        <w:t xml:space="preserve"> </w:t>
      </w:r>
      <w:r w:rsidRPr="5ABB892E">
        <w:rPr>
          <w:rStyle w:val="Hyperlink"/>
          <w:b/>
          <w:bCs/>
          <w:color w:val="auto"/>
        </w:rPr>
        <w:t>PAY</w:t>
      </w:r>
    </w:p>
    <w:p w14:paraId="37D0B3BF" w14:textId="77777777" w:rsidR="007666D6" w:rsidRPr="007666D6" w:rsidRDefault="006171E7" w:rsidP="007666D6">
      <w:pPr>
        <w:rPr>
          <w:szCs w:val="24"/>
        </w:rPr>
      </w:pPr>
      <w:r>
        <w:rPr>
          <w:szCs w:val="24"/>
        </w:rPr>
        <w:t>4</w:t>
      </w:r>
      <w:r w:rsidR="007666D6" w:rsidRPr="007666D6">
        <w:rPr>
          <w:szCs w:val="24"/>
        </w:rPr>
        <w:tab/>
      </w:r>
      <w:hyperlink w:anchor="Principles" w:history="1">
        <w:r w:rsidR="007666D6" w:rsidRPr="007666D6">
          <w:rPr>
            <w:rStyle w:val="Hyperlink"/>
            <w:szCs w:val="24"/>
          </w:rPr>
          <w:t>Principles</w:t>
        </w:r>
      </w:hyperlink>
    </w:p>
    <w:p w14:paraId="5C8C76A2" w14:textId="5FDFDDEC" w:rsidR="007666D6" w:rsidRDefault="006171E7" w:rsidP="6BEBBADE">
      <w:r>
        <w:t>5</w:t>
      </w:r>
      <w:r>
        <w:tab/>
      </w:r>
      <w:hyperlink w:anchor="September_Pay_Award">
        <w:r w:rsidR="00206545" w:rsidRPr="6BEBBADE">
          <w:rPr>
            <w:rStyle w:val="Hyperlink"/>
          </w:rPr>
          <w:t>September 202</w:t>
        </w:r>
        <w:r w:rsidR="314CFD8B" w:rsidRPr="6BEBBADE">
          <w:rPr>
            <w:rStyle w:val="Hyperlink"/>
          </w:rPr>
          <w:t>5</w:t>
        </w:r>
        <w:r w:rsidR="00206545" w:rsidRPr="6BEBBADE">
          <w:rPr>
            <w:rStyle w:val="Hyperlink"/>
          </w:rPr>
          <w:t xml:space="preserve"> Pay Award</w:t>
        </w:r>
      </w:hyperlink>
    </w:p>
    <w:p w14:paraId="71355FD0" w14:textId="55121187" w:rsidR="00CF25D5" w:rsidRPr="00CF25D5" w:rsidRDefault="00CF25D5" w:rsidP="007666D6">
      <w:pPr>
        <w:rPr>
          <w:szCs w:val="24"/>
        </w:rPr>
      </w:pPr>
      <w:r>
        <w:rPr>
          <w:szCs w:val="24"/>
        </w:rPr>
        <w:t>6</w:t>
      </w:r>
      <w:r w:rsidRPr="007666D6">
        <w:rPr>
          <w:szCs w:val="24"/>
        </w:rPr>
        <w:tab/>
      </w:r>
      <w:hyperlink w:anchor="Basix_Pay_Determin" w:history="1">
        <w:r w:rsidRPr="007666D6">
          <w:rPr>
            <w:rStyle w:val="Hyperlink"/>
            <w:szCs w:val="24"/>
          </w:rPr>
          <w:t>Basic Pay Determination on Appointment</w:t>
        </w:r>
      </w:hyperlink>
    </w:p>
    <w:p w14:paraId="13B0134D" w14:textId="5ABD4091" w:rsidR="007666D6" w:rsidRDefault="00CF25D5" w:rsidP="007666D6">
      <w:pPr>
        <w:rPr>
          <w:rStyle w:val="Hyperlink"/>
          <w:szCs w:val="24"/>
        </w:rPr>
      </w:pPr>
      <w:r>
        <w:rPr>
          <w:szCs w:val="24"/>
        </w:rPr>
        <w:t>7</w:t>
      </w:r>
      <w:r w:rsidR="007666D6" w:rsidRPr="007666D6">
        <w:rPr>
          <w:szCs w:val="24"/>
        </w:rPr>
        <w:tab/>
      </w:r>
      <w:hyperlink w:anchor="Pay_Review" w:history="1">
        <w:r w:rsidR="007666D6" w:rsidRPr="007666D6">
          <w:rPr>
            <w:rStyle w:val="Hyperlink"/>
            <w:szCs w:val="24"/>
          </w:rPr>
          <w:t>Pay Reviews</w:t>
        </w:r>
      </w:hyperlink>
      <w:r>
        <w:rPr>
          <w:rStyle w:val="Hyperlink"/>
          <w:szCs w:val="24"/>
        </w:rPr>
        <w:t xml:space="preserve"> and Decisions</w:t>
      </w:r>
    </w:p>
    <w:p w14:paraId="2ABEF2C8" w14:textId="1E7B8D3E" w:rsidR="007666D6" w:rsidRPr="000E2ECD" w:rsidRDefault="00374330" w:rsidP="007666D6">
      <w:pPr>
        <w:rPr>
          <w:color w:val="0000FF"/>
          <w:szCs w:val="24"/>
          <w:u w:val="single"/>
        </w:rPr>
      </w:pPr>
      <w:r>
        <w:rPr>
          <w:szCs w:val="24"/>
        </w:rPr>
        <w:t>8</w:t>
      </w:r>
      <w:r w:rsidRPr="007666D6">
        <w:rPr>
          <w:szCs w:val="24"/>
        </w:rPr>
        <w:tab/>
      </w:r>
      <w:hyperlink w:anchor="Appeal_Precedure" w:history="1">
        <w:r w:rsidRPr="007666D6">
          <w:rPr>
            <w:rStyle w:val="Hyperlink"/>
            <w:szCs w:val="24"/>
          </w:rPr>
          <w:t>Appeals Procedure</w:t>
        </w:r>
      </w:hyperlink>
    </w:p>
    <w:p w14:paraId="44C06B38" w14:textId="27F64757" w:rsidR="00AA72BA" w:rsidRPr="00AF6CB2" w:rsidRDefault="000E2ECD" w:rsidP="007666D6">
      <w:pPr>
        <w:rPr>
          <w:color w:val="0000FF"/>
          <w:szCs w:val="24"/>
        </w:rPr>
      </w:pPr>
      <w:r>
        <w:rPr>
          <w:rStyle w:val="Hyperlink"/>
          <w:color w:val="auto"/>
          <w:szCs w:val="24"/>
          <w:u w:val="none"/>
        </w:rPr>
        <w:t>9</w:t>
      </w:r>
      <w:r w:rsidR="00AA72BA" w:rsidRPr="00B82353">
        <w:rPr>
          <w:rStyle w:val="Hyperlink"/>
          <w:color w:val="auto"/>
          <w:szCs w:val="24"/>
          <w:u w:val="none"/>
        </w:rPr>
        <w:tab/>
      </w:r>
      <w:hyperlink w:anchor="ExecP" w:history="1">
        <w:r w:rsidR="00AA72BA" w:rsidRPr="00AF6CB2">
          <w:rPr>
            <w:rStyle w:val="Hyperlink"/>
            <w:szCs w:val="24"/>
          </w:rPr>
          <w:t>Executive Pay – for academies only</w:t>
        </w:r>
      </w:hyperlink>
    </w:p>
    <w:p w14:paraId="67E3CEAC" w14:textId="2F14A50C" w:rsidR="007666D6" w:rsidRPr="007666D6" w:rsidRDefault="006171E7" w:rsidP="007666D6">
      <w:pPr>
        <w:rPr>
          <w:szCs w:val="24"/>
        </w:rPr>
      </w:pPr>
      <w:r>
        <w:rPr>
          <w:szCs w:val="24"/>
        </w:rPr>
        <w:t>1</w:t>
      </w:r>
      <w:r w:rsidR="000E2ECD">
        <w:rPr>
          <w:szCs w:val="24"/>
        </w:rPr>
        <w:t>0</w:t>
      </w:r>
      <w:r w:rsidR="007666D6" w:rsidRPr="007666D6">
        <w:rPr>
          <w:szCs w:val="24"/>
        </w:rPr>
        <w:tab/>
      </w:r>
      <w:hyperlink w:anchor="Leadershop_GRoup" w:history="1">
        <w:r w:rsidR="007666D6" w:rsidRPr="007666D6">
          <w:rPr>
            <w:rStyle w:val="Hyperlink"/>
            <w:szCs w:val="24"/>
          </w:rPr>
          <w:t>Leadership Group Pay</w:t>
        </w:r>
      </w:hyperlink>
    </w:p>
    <w:p w14:paraId="76DC468F" w14:textId="5A2520BA" w:rsidR="007666D6" w:rsidRPr="007666D6" w:rsidRDefault="007666D6" w:rsidP="007666D6">
      <w:pPr>
        <w:rPr>
          <w:szCs w:val="24"/>
        </w:rPr>
      </w:pPr>
      <w:r w:rsidRPr="007666D6">
        <w:rPr>
          <w:szCs w:val="24"/>
        </w:rPr>
        <w:t>1</w:t>
      </w:r>
      <w:r w:rsidR="000E2ECD">
        <w:rPr>
          <w:szCs w:val="24"/>
        </w:rPr>
        <w:t>1</w:t>
      </w:r>
      <w:r w:rsidRPr="007666D6">
        <w:rPr>
          <w:szCs w:val="24"/>
        </w:rPr>
        <w:tab/>
      </w:r>
      <w:hyperlink w:anchor="MPR" w:history="1">
        <w:r w:rsidRPr="007666D6">
          <w:rPr>
            <w:rStyle w:val="Hyperlink"/>
            <w:szCs w:val="24"/>
          </w:rPr>
          <w:t>Main Pay Range</w:t>
        </w:r>
      </w:hyperlink>
    </w:p>
    <w:p w14:paraId="3C001E94" w14:textId="5432B1C8" w:rsidR="007666D6" w:rsidRPr="007666D6" w:rsidRDefault="007666D6" w:rsidP="007666D6">
      <w:pPr>
        <w:rPr>
          <w:szCs w:val="24"/>
        </w:rPr>
      </w:pPr>
      <w:r w:rsidRPr="007666D6">
        <w:rPr>
          <w:szCs w:val="24"/>
        </w:rPr>
        <w:t>1</w:t>
      </w:r>
      <w:r w:rsidR="000E2ECD">
        <w:rPr>
          <w:szCs w:val="24"/>
        </w:rPr>
        <w:t>2</w:t>
      </w:r>
      <w:r w:rsidRPr="007666D6">
        <w:rPr>
          <w:szCs w:val="24"/>
        </w:rPr>
        <w:tab/>
      </w:r>
      <w:hyperlink w:anchor="UPS" w:history="1">
        <w:r w:rsidRPr="007666D6">
          <w:rPr>
            <w:rStyle w:val="Hyperlink"/>
            <w:szCs w:val="24"/>
          </w:rPr>
          <w:t>Upper Pay Range</w:t>
        </w:r>
      </w:hyperlink>
    </w:p>
    <w:p w14:paraId="6BA1E702" w14:textId="54DE591A" w:rsidR="007666D6" w:rsidRPr="007666D6" w:rsidRDefault="007666D6" w:rsidP="007666D6">
      <w:pPr>
        <w:rPr>
          <w:szCs w:val="24"/>
        </w:rPr>
      </w:pPr>
      <w:r w:rsidRPr="007666D6">
        <w:rPr>
          <w:szCs w:val="24"/>
        </w:rPr>
        <w:t>1</w:t>
      </w:r>
      <w:r w:rsidR="00BB11D6">
        <w:rPr>
          <w:szCs w:val="24"/>
        </w:rPr>
        <w:t>3</w:t>
      </w:r>
      <w:r w:rsidRPr="007666D6">
        <w:rPr>
          <w:szCs w:val="24"/>
        </w:rPr>
        <w:tab/>
      </w:r>
      <w:hyperlink w:anchor="ProgresisonUPS" w:history="1">
        <w:r w:rsidRPr="007666D6">
          <w:rPr>
            <w:rStyle w:val="Hyperlink"/>
            <w:szCs w:val="24"/>
          </w:rPr>
          <w:t>Progression to the Upper Pay Range</w:t>
        </w:r>
      </w:hyperlink>
    </w:p>
    <w:p w14:paraId="49D42458" w14:textId="76128181" w:rsidR="007666D6" w:rsidRPr="007666D6" w:rsidRDefault="007666D6" w:rsidP="007666D6">
      <w:pPr>
        <w:rPr>
          <w:szCs w:val="24"/>
        </w:rPr>
      </w:pPr>
      <w:r w:rsidRPr="007666D6">
        <w:rPr>
          <w:szCs w:val="24"/>
        </w:rPr>
        <w:t>1</w:t>
      </w:r>
      <w:r w:rsidR="00BB11D6">
        <w:rPr>
          <w:szCs w:val="24"/>
        </w:rPr>
        <w:t>4</w:t>
      </w:r>
      <w:r w:rsidRPr="007666D6">
        <w:rPr>
          <w:szCs w:val="24"/>
        </w:rPr>
        <w:tab/>
      </w:r>
      <w:hyperlink w:anchor="LeadingPract" w:history="1">
        <w:r w:rsidRPr="007666D6">
          <w:rPr>
            <w:rStyle w:val="Hyperlink"/>
            <w:szCs w:val="24"/>
          </w:rPr>
          <w:t>Leading Practitioner Roles</w:t>
        </w:r>
      </w:hyperlink>
      <w:r w:rsidRPr="007666D6">
        <w:rPr>
          <w:szCs w:val="24"/>
        </w:rPr>
        <w:t xml:space="preserve"> </w:t>
      </w:r>
    </w:p>
    <w:p w14:paraId="6A832586" w14:textId="3CE24E5F" w:rsidR="007666D6" w:rsidRDefault="007666D6" w:rsidP="007666D6">
      <w:pPr>
        <w:rPr>
          <w:szCs w:val="24"/>
        </w:rPr>
      </w:pPr>
      <w:r w:rsidRPr="007666D6">
        <w:rPr>
          <w:szCs w:val="24"/>
        </w:rPr>
        <w:t>1</w:t>
      </w:r>
      <w:r w:rsidR="00BB11D6">
        <w:rPr>
          <w:szCs w:val="24"/>
        </w:rPr>
        <w:t>5</w:t>
      </w:r>
      <w:r w:rsidRPr="007666D6">
        <w:rPr>
          <w:szCs w:val="24"/>
        </w:rPr>
        <w:tab/>
      </w:r>
      <w:hyperlink w:anchor="Unqualified" w:history="1">
        <w:r w:rsidRPr="007666D6">
          <w:rPr>
            <w:rStyle w:val="Hyperlink"/>
            <w:szCs w:val="24"/>
          </w:rPr>
          <w:t>Unqualified Teachers</w:t>
        </w:r>
      </w:hyperlink>
    </w:p>
    <w:p w14:paraId="6A8E6223" w14:textId="78E2CEB6" w:rsidR="004579B1" w:rsidRDefault="002F2FE9" w:rsidP="007666D6">
      <w:pPr>
        <w:rPr>
          <w:rStyle w:val="Hyperlink"/>
          <w:szCs w:val="24"/>
        </w:rPr>
      </w:pPr>
      <w:r>
        <w:rPr>
          <w:szCs w:val="24"/>
        </w:rPr>
        <w:t>16</w:t>
      </w:r>
      <w:r w:rsidR="004579B1" w:rsidRPr="003531DE">
        <w:rPr>
          <w:szCs w:val="24"/>
        </w:rPr>
        <w:tab/>
      </w:r>
      <w:hyperlink w:anchor="EarlyCareer" w:history="1">
        <w:r w:rsidR="00A26CBF" w:rsidRPr="00941BF5">
          <w:rPr>
            <w:rStyle w:val="Hyperlink"/>
            <w:szCs w:val="24"/>
          </w:rPr>
          <w:t>Early Career Teachers</w:t>
        </w:r>
      </w:hyperlink>
    </w:p>
    <w:p w14:paraId="6BF0CDAA" w14:textId="77777777" w:rsidR="00467DF3" w:rsidRDefault="00467DF3" w:rsidP="007666D6">
      <w:pPr>
        <w:rPr>
          <w:rStyle w:val="Hyperlink"/>
          <w:szCs w:val="24"/>
        </w:rPr>
      </w:pPr>
    </w:p>
    <w:p w14:paraId="4BCC5EC9" w14:textId="77FDEB1B" w:rsidR="00151A12" w:rsidRPr="00467DF3" w:rsidRDefault="00151A12" w:rsidP="007666D6">
      <w:pPr>
        <w:rPr>
          <w:b/>
          <w:bCs/>
          <w:szCs w:val="24"/>
        </w:rPr>
      </w:pPr>
      <w:r w:rsidRPr="00B82353">
        <w:rPr>
          <w:rStyle w:val="Hyperlink"/>
          <w:b/>
          <w:bCs/>
          <w:szCs w:val="24"/>
          <w:u w:val="none"/>
        </w:rPr>
        <w:tab/>
      </w:r>
      <w:r w:rsidRPr="00B82353">
        <w:rPr>
          <w:rStyle w:val="Hyperlink"/>
          <w:b/>
          <w:bCs/>
          <w:color w:val="auto"/>
          <w:szCs w:val="24"/>
        </w:rPr>
        <w:t xml:space="preserve">PART TWO </w:t>
      </w:r>
      <w:r w:rsidR="00467DF3" w:rsidRPr="00B82353">
        <w:rPr>
          <w:rStyle w:val="Hyperlink"/>
          <w:b/>
          <w:bCs/>
          <w:color w:val="auto"/>
          <w:szCs w:val="24"/>
        </w:rPr>
        <w:t>–</w:t>
      </w:r>
      <w:r w:rsidRPr="00B82353">
        <w:rPr>
          <w:rStyle w:val="Hyperlink"/>
          <w:b/>
          <w:bCs/>
          <w:color w:val="auto"/>
          <w:szCs w:val="24"/>
        </w:rPr>
        <w:t xml:space="preserve"> </w:t>
      </w:r>
      <w:r w:rsidR="00467DF3" w:rsidRPr="00B82353">
        <w:rPr>
          <w:rStyle w:val="Hyperlink"/>
          <w:b/>
          <w:bCs/>
          <w:color w:val="auto"/>
          <w:szCs w:val="24"/>
        </w:rPr>
        <w:t>OTHER PAYMENTS AND ALLOWANCES</w:t>
      </w:r>
    </w:p>
    <w:p w14:paraId="7357CD86" w14:textId="2EDCCEB6" w:rsidR="007666D6" w:rsidRPr="007666D6" w:rsidRDefault="002F2FE9" w:rsidP="007666D6">
      <w:pPr>
        <w:rPr>
          <w:szCs w:val="24"/>
        </w:rPr>
      </w:pPr>
      <w:r>
        <w:rPr>
          <w:szCs w:val="24"/>
        </w:rPr>
        <w:t>17</w:t>
      </w:r>
      <w:r w:rsidR="007666D6" w:rsidRPr="007666D6">
        <w:rPr>
          <w:szCs w:val="24"/>
        </w:rPr>
        <w:tab/>
      </w:r>
      <w:hyperlink w:anchor="TLRPay" w:history="1">
        <w:r w:rsidR="007666D6" w:rsidRPr="007666D6">
          <w:rPr>
            <w:rStyle w:val="Hyperlink"/>
            <w:szCs w:val="24"/>
          </w:rPr>
          <w:t>Teaching and Learning Responsibility Payments</w:t>
        </w:r>
      </w:hyperlink>
    </w:p>
    <w:p w14:paraId="0A7494B4" w14:textId="20D73B6E" w:rsidR="007666D6" w:rsidRPr="007666D6" w:rsidRDefault="002F2FE9" w:rsidP="007666D6">
      <w:pPr>
        <w:rPr>
          <w:szCs w:val="24"/>
        </w:rPr>
      </w:pPr>
      <w:r>
        <w:rPr>
          <w:szCs w:val="24"/>
        </w:rPr>
        <w:t>18</w:t>
      </w:r>
      <w:r w:rsidR="007666D6" w:rsidRPr="007666D6">
        <w:rPr>
          <w:szCs w:val="24"/>
        </w:rPr>
        <w:tab/>
      </w:r>
      <w:hyperlink w:anchor="SEN" w:history="1">
        <w:r w:rsidR="007666D6" w:rsidRPr="007666D6">
          <w:rPr>
            <w:rStyle w:val="Hyperlink"/>
            <w:szCs w:val="24"/>
          </w:rPr>
          <w:t>Special Educational Needs Allowance</w:t>
        </w:r>
      </w:hyperlink>
    </w:p>
    <w:p w14:paraId="10C3311D" w14:textId="41707E79" w:rsidR="007666D6" w:rsidRDefault="002F2FE9" w:rsidP="007666D6">
      <w:pPr>
        <w:rPr>
          <w:rStyle w:val="Hyperlink"/>
          <w:szCs w:val="24"/>
        </w:rPr>
      </w:pPr>
      <w:r>
        <w:rPr>
          <w:szCs w:val="24"/>
        </w:rPr>
        <w:t>19</w:t>
      </w:r>
      <w:r w:rsidR="007666D6" w:rsidRPr="007666D6">
        <w:rPr>
          <w:szCs w:val="24"/>
        </w:rPr>
        <w:tab/>
      </w:r>
      <w:hyperlink w:anchor="AddP" w:history="1">
        <w:r w:rsidR="007666D6" w:rsidRPr="007666D6">
          <w:rPr>
            <w:rStyle w:val="Hyperlink"/>
            <w:szCs w:val="24"/>
          </w:rPr>
          <w:t>Additional Payments</w:t>
        </w:r>
      </w:hyperlink>
    </w:p>
    <w:p w14:paraId="277698F2" w14:textId="3A94A79E" w:rsidR="000A268C" w:rsidRPr="002063C0" w:rsidRDefault="008F0A24" w:rsidP="007666D6">
      <w:pPr>
        <w:rPr>
          <w:rStyle w:val="Hyperlink"/>
          <w:color w:val="auto"/>
          <w:szCs w:val="24"/>
        </w:rPr>
      </w:pPr>
      <w:r w:rsidRPr="002063C0">
        <w:rPr>
          <w:rStyle w:val="Hyperlink"/>
          <w:color w:val="auto"/>
          <w:szCs w:val="24"/>
          <w:u w:val="none"/>
        </w:rPr>
        <w:t>2</w:t>
      </w:r>
      <w:r w:rsidR="002F2FE9">
        <w:rPr>
          <w:rStyle w:val="Hyperlink"/>
          <w:color w:val="auto"/>
          <w:szCs w:val="24"/>
          <w:u w:val="none"/>
        </w:rPr>
        <w:t>0</w:t>
      </w:r>
      <w:r w:rsidRPr="002063C0">
        <w:rPr>
          <w:rStyle w:val="Hyperlink"/>
          <w:color w:val="auto"/>
          <w:szCs w:val="24"/>
          <w:u w:val="none"/>
        </w:rPr>
        <w:tab/>
      </w:r>
      <w:hyperlink w:anchor="AUnQT" w:history="1">
        <w:r w:rsidRPr="002063C0">
          <w:rPr>
            <w:rStyle w:val="Hyperlink"/>
            <w:szCs w:val="24"/>
          </w:rPr>
          <w:t>Allowances for Unqualified Teachers</w:t>
        </w:r>
      </w:hyperlink>
    </w:p>
    <w:p w14:paraId="59D8502E" w14:textId="3B2CC31B" w:rsidR="000A268C" w:rsidRPr="007666D6" w:rsidRDefault="000A268C" w:rsidP="007666D6">
      <w:pPr>
        <w:rPr>
          <w:szCs w:val="24"/>
        </w:rPr>
      </w:pPr>
      <w:r w:rsidRPr="007666D6">
        <w:rPr>
          <w:szCs w:val="24"/>
        </w:rPr>
        <w:t>2</w:t>
      </w:r>
      <w:r w:rsidR="002F2FE9">
        <w:rPr>
          <w:szCs w:val="24"/>
        </w:rPr>
        <w:t>1</w:t>
      </w:r>
      <w:r w:rsidRPr="007666D6">
        <w:rPr>
          <w:szCs w:val="24"/>
        </w:rPr>
        <w:tab/>
      </w:r>
      <w:hyperlink w:anchor="RecruitmentandRet" w:history="1">
        <w:r w:rsidRPr="007666D6">
          <w:rPr>
            <w:rStyle w:val="Hyperlink"/>
            <w:szCs w:val="24"/>
          </w:rPr>
          <w:t>Recruitment and Retention Incentive</w:t>
        </w:r>
      </w:hyperlink>
    </w:p>
    <w:p w14:paraId="2B3FE740" w14:textId="549574B9" w:rsidR="007666D6" w:rsidRDefault="007666D6" w:rsidP="007666D6">
      <w:pPr>
        <w:rPr>
          <w:rStyle w:val="Hyperlink"/>
          <w:szCs w:val="24"/>
        </w:rPr>
      </w:pPr>
      <w:r w:rsidRPr="007666D6">
        <w:rPr>
          <w:szCs w:val="24"/>
        </w:rPr>
        <w:t>2</w:t>
      </w:r>
      <w:r w:rsidR="002F2FE9">
        <w:rPr>
          <w:szCs w:val="24"/>
        </w:rPr>
        <w:t>2</w:t>
      </w:r>
      <w:r w:rsidRPr="007666D6">
        <w:rPr>
          <w:szCs w:val="24"/>
        </w:rPr>
        <w:tab/>
      </w:r>
      <w:hyperlink w:anchor="ActingAllow" w:history="1">
        <w:r w:rsidRPr="007666D6">
          <w:rPr>
            <w:rStyle w:val="Hyperlink"/>
            <w:szCs w:val="24"/>
          </w:rPr>
          <w:t>Acting Allowance</w:t>
        </w:r>
      </w:hyperlink>
    </w:p>
    <w:p w14:paraId="321B8BFE" w14:textId="4CDDE1C0" w:rsidR="00465666" w:rsidRDefault="00465666" w:rsidP="007666D6">
      <w:pPr>
        <w:rPr>
          <w:rStyle w:val="Hyperlink"/>
          <w:szCs w:val="24"/>
        </w:rPr>
      </w:pPr>
      <w:r w:rsidRPr="002063C0">
        <w:rPr>
          <w:rStyle w:val="Hyperlink"/>
          <w:color w:val="auto"/>
          <w:szCs w:val="24"/>
          <w:u w:val="none"/>
        </w:rPr>
        <w:t>2</w:t>
      </w:r>
      <w:r w:rsidR="002F2FE9">
        <w:rPr>
          <w:rStyle w:val="Hyperlink"/>
          <w:color w:val="auto"/>
          <w:szCs w:val="24"/>
          <w:u w:val="none"/>
        </w:rPr>
        <w:t>3</w:t>
      </w:r>
      <w:r w:rsidRPr="002063C0">
        <w:rPr>
          <w:rStyle w:val="Hyperlink"/>
          <w:color w:val="auto"/>
          <w:szCs w:val="24"/>
          <w:u w:val="none"/>
        </w:rPr>
        <w:tab/>
      </w:r>
      <w:hyperlink w:anchor="Hon" w:history="1">
        <w:r w:rsidRPr="002063C0">
          <w:rPr>
            <w:rStyle w:val="Hyperlink"/>
            <w:szCs w:val="24"/>
          </w:rPr>
          <w:t>Honoraria</w:t>
        </w:r>
      </w:hyperlink>
    </w:p>
    <w:p w14:paraId="65B253C0" w14:textId="77777777" w:rsidR="00465666" w:rsidRDefault="00465666" w:rsidP="007666D6">
      <w:pPr>
        <w:rPr>
          <w:rStyle w:val="Hyperlink"/>
          <w:szCs w:val="24"/>
        </w:rPr>
      </w:pPr>
    </w:p>
    <w:p w14:paraId="1656E750" w14:textId="567016C2" w:rsidR="00465666" w:rsidRPr="00465666" w:rsidRDefault="00465666" w:rsidP="007666D6">
      <w:pPr>
        <w:rPr>
          <w:rStyle w:val="Hyperlink"/>
          <w:b/>
          <w:bCs/>
          <w:szCs w:val="24"/>
        </w:rPr>
      </w:pPr>
      <w:r w:rsidRPr="00B82353">
        <w:rPr>
          <w:rStyle w:val="Hyperlink"/>
          <w:b/>
          <w:bCs/>
          <w:szCs w:val="24"/>
          <w:u w:val="none"/>
        </w:rPr>
        <w:tab/>
      </w:r>
      <w:r w:rsidRPr="002063C0">
        <w:rPr>
          <w:rStyle w:val="Hyperlink"/>
          <w:b/>
          <w:bCs/>
          <w:color w:val="auto"/>
          <w:szCs w:val="24"/>
        </w:rPr>
        <w:t>PART THREE - SAFEGUARDING</w:t>
      </w:r>
    </w:p>
    <w:p w14:paraId="055E680E" w14:textId="1D532100" w:rsidR="00465666" w:rsidRDefault="00465666" w:rsidP="00465666">
      <w:pPr>
        <w:rPr>
          <w:rStyle w:val="Hyperlink"/>
          <w:szCs w:val="24"/>
        </w:rPr>
      </w:pPr>
      <w:r w:rsidRPr="007666D6">
        <w:rPr>
          <w:szCs w:val="24"/>
        </w:rPr>
        <w:t>2</w:t>
      </w:r>
      <w:r w:rsidR="002F2FE9">
        <w:rPr>
          <w:szCs w:val="24"/>
        </w:rPr>
        <w:t>4</w:t>
      </w:r>
      <w:r w:rsidRPr="007666D6">
        <w:rPr>
          <w:szCs w:val="24"/>
        </w:rPr>
        <w:tab/>
      </w:r>
      <w:hyperlink w:anchor="SalarySafeg" w:history="1">
        <w:r w:rsidRPr="007666D6">
          <w:rPr>
            <w:rStyle w:val="Hyperlink"/>
            <w:szCs w:val="24"/>
          </w:rPr>
          <w:t>Salary Safeguarding</w:t>
        </w:r>
      </w:hyperlink>
    </w:p>
    <w:p w14:paraId="5E33C1C1" w14:textId="77777777" w:rsidR="00465666" w:rsidRDefault="00465666" w:rsidP="007666D6">
      <w:pPr>
        <w:rPr>
          <w:rStyle w:val="Hyperlink"/>
          <w:szCs w:val="24"/>
        </w:rPr>
      </w:pPr>
    </w:p>
    <w:p w14:paraId="5B9B2FB2" w14:textId="2FF65B70" w:rsidR="00465666" w:rsidRPr="00B82353" w:rsidRDefault="00465666" w:rsidP="007666D6">
      <w:pPr>
        <w:rPr>
          <w:b/>
          <w:bCs/>
          <w:szCs w:val="24"/>
          <w:u w:val="single"/>
        </w:rPr>
      </w:pPr>
      <w:r w:rsidRPr="00B82353">
        <w:rPr>
          <w:b/>
          <w:bCs/>
          <w:szCs w:val="24"/>
        </w:rPr>
        <w:tab/>
      </w:r>
      <w:r w:rsidRPr="00B82353">
        <w:rPr>
          <w:b/>
          <w:bCs/>
          <w:szCs w:val="24"/>
          <w:u w:val="single"/>
        </w:rPr>
        <w:t xml:space="preserve">PART 4 - </w:t>
      </w:r>
      <w:r w:rsidR="00B82353" w:rsidRPr="00B82353">
        <w:rPr>
          <w:b/>
          <w:bCs/>
          <w:szCs w:val="24"/>
          <w:u w:val="single"/>
        </w:rPr>
        <w:t>SUPPLEMENTARY</w:t>
      </w:r>
    </w:p>
    <w:p w14:paraId="59BB5C40" w14:textId="1FD136C2" w:rsidR="00465666" w:rsidRPr="00B82353" w:rsidRDefault="002F2FE9" w:rsidP="007666D6">
      <w:pPr>
        <w:rPr>
          <w:color w:val="0000FF"/>
          <w:szCs w:val="24"/>
          <w:u w:val="single"/>
        </w:rPr>
      </w:pPr>
      <w:r>
        <w:rPr>
          <w:szCs w:val="24"/>
        </w:rPr>
        <w:t>25</w:t>
      </w:r>
      <w:r w:rsidR="007666D6" w:rsidRPr="007666D6">
        <w:rPr>
          <w:szCs w:val="24"/>
        </w:rPr>
        <w:tab/>
      </w:r>
      <w:hyperlink w:anchor="PartTimeTeachers" w:history="1">
        <w:r w:rsidR="007666D6" w:rsidRPr="007666D6">
          <w:rPr>
            <w:rStyle w:val="Hyperlink"/>
            <w:szCs w:val="24"/>
          </w:rPr>
          <w:t>Part Time Teachers</w:t>
        </w:r>
      </w:hyperlink>
    </w:p>
    <w:p w14:paraId="3EACBE75" w14:textId="34F84054" w:rsidR="007666D6" w:rsidRDefault="002F2FE9" w:rsidP="007666D6">
      <w:pPr>
        <w:rPr>
          <w:rStyle w:val="Hyperlink"/>
          <w:szCs w:val="24"/>
        </w:rPr>
      </w:pPr>
      <w:r>
        <w:rPr>
          <w:szCs w:val="24"/>
        </w:rPr>
        <w:t>26</w:t>
      </w:r>
      <w:r w:rsidR="007666D6" w:rsidRPr="007666D6">
        <w:rPr>
          <w:szCs w:val="24"/>
        </w:rPr>
        <w:tab/>
      </w:r>
      <w:hyperlink w:anchor="ShortNotice" w:history="1">
        <w:r w:rsidR="007666D6" w:rsidRPr="007666D6">
          <w:rPr>
            <w:rStyle w:val="Hyperlink"/>
            <w:szCs w:val="24"/>
          </w:rPr>
          <w:t>Short Notice/Supply Teachers</w:t>
        </w:r>
      </w:hyperlink>
    </w:p>
    <w:p w14:paraId="4D800052" w14:textId="7CC316EF" w:rsidR="00B82353" w:rsidRPr="002063C0" w:rsidRDefault="002F2FE9" w:rsidP="007666D6">
      <w:pPr>
        <w:rPr>
          <w:rStyle w:val="Hyperlink"/>
          <w:color w:val="auto"/>
          <w:szCs w:val="24"/>
          <w:u w:val="none"/>
        </w:rPr>
      </w:pPr>
      <w:r>
        <w:rPr>
          <w:rStyle w:val="Hyperlink"/>
          <w:color w:val="auto"/>
          <w:szCs w:val="24"/>
          <w:u w:val="none"/>
        </w:rPr>
        <w:t>27</w:t>
      </w:r>
      <w:r w:rsidR="00B82353" w:rsidRPr="002063C0">
        <w:rPr>
          <w:rStyle w:val="Hyperlink"/>
          <w:color w:val="auto"/>
          <w:szCs w:val="24"/>
          <w:u w:val="none"/>
        </w:rPr>
        <w:tab/>
      </w:r>
      <w:hyperlink w:anchor="Pen" w:history="1">
        <w:r w:rsidR="00B82353" w:rsidRPr="002063C0">
          <w:rPr>
            <w:rStyle w:val="Hyperlink"/>
            <w:szCs w:val="24"/>
          </w:rPr>
          <w:t>Pensions</w:t>
        </w:r>
      </w:hyperlink>
      <w:r w:rsidR="00B82353" w:rsidRPr="002063C0">
        <w:rPr>
          <w:rStyle w:val="Hyperlink"/>
          <w:color w:val="auto"/>
          <w:szCs w:val="24"/>
          <w:u w:val="none"/>
        </w:rPr>
        <w:t xml:space="preserve"> </w:t>
      </w:r>
    </w:p>
    <w:p w14:paraId="3FDFACBA" w14:textId="77777777" w:rsidR="00B82353" w:rsidRDefault="00B82353" w:rsidP="007666D6">
      <w:pPr>
        <w:rPr>
          <w:b/>
          <w:szCs w:val="24"/>
        </w:rPr>
      </w:pPr>
    </w:p>
    <w:p w14:paraId="5A9CF1D6" w14:textId="77777777" w:rsidR="00B82353" w:rsidRPr="007666D6" w:rsidRDefault="00B82353" w:rsidP="007666D6">
      <w:pPr>
        <w:rPr>
          <w:b/>
          <w:szCs w:val="24"/>
        </w:rPr>
      </w:pPr>
    </w:p>
    <w:p w14:paraId="4C473F0B" w14:textId="77777777" w:rsidR="007666D6" w:rsidRDefault="007666D6" w:rsidP="007666D6">
      <w:pPr>
        <w:rPr>
          <w:b/>
          <w:sz w:val="36"/>
          <w:szCs w:val="36"/>
        </w:rPr>
      </w:pPr>
      <w:r>
        <w:rPr>
          <w:b/>
          <w:sz w:val="36"/>
          <w:szCs w:val="36"/>
        </w:rPr>
        <w:t>Appendix</w:t>
      </w:r>
    </w:p>
    <w:p w14:paraId="644A54E6" w14:textId="77777777" w:rsidR="007666D6" w:rsidRDefault="007666D6" w:rsidP="007666D6">
      <w:pPr>
        <w:rPr>
          <w:b/>
          <w:sz w:val="36"/>
          <w:szCs w:val="36"/>
        </w:rPr>
      </w:pPr>
    </w:p>
    <w:p w14:paraId="12A7D579" w14:textId="77777777" w:rsidR="007666D6" w:rsidRPr="007666D6" w:rsidRDefault="007666D6" w:rsidP="007666D6">
      <w:pPr>
        <w:rPr>
          <w:szCs w:val="24"/>
        </w:rPr>
      </w:pPr>
      <w:r>
        <w:rPr>
          <w:szCs w:val="24"/>
        </w:rPr>
        <w:t>Appendix 1</w:t>
      </w:r>
      <w:r>
        <w:rPr>
          <w:szCs w:val="24"/>
        </w:rPr>
        <w:tab/>
      </w:r>
      <w:hyperlink w:anchor="Append1" w:history="1">
        <w:r w:rsidRPr="007666D6">
          <w:rPr>
            <w:rStyle w:val="Hyperlink"/>
            <w:szCs w:val="24"/>
          </w:rPr>
          <w:t>Appeal Procedure</w:t>
        </w:r>
      </w:hyperlink>
      <w:r w:rsidRPr="007666D6">
        <w:rPr>
          <w:szCs w:val="24"/>
        </w:rPr>
        <w:t xml:space="preserve"> </w:t>
      </w:r>
    </w:p>
    <w:p w14:paraId="4BB5353C" w14:textId="77777777" w:rsidR="007666D6" w:rsidRDefault="007666D6" w:rsidP="007666D6">
      <w:pPr>
        <w:rPr>
          <w:rStyle w:val="Hyperlink"/>
          <w:szCs w:val="24"/>
        </w:rPr>
      </w:pPr>
      <w:r w:rsidRPr="007666D6">
        <w:rPr>
          <w:szCs w:val="24"/>
        </w:rPr>
        <w:t>Appendix 2</w:t>
      </w:r>
      <w:r w:rsidRPr="007666D6">
        <w:rPr>
          <w:szCs w:val="24"/>
        </w:rPr>
        <w:tab/>
      </w:r>
      <w:hyperlink w:anchor="Appen2" w:history="1">
        <w:r w:rsidRPr="007666D6">
          <w:rPr>
            <w:rStyle w:val="Hyperlink"/>
            <w:szCs w:val="24"/>
          </w:rPr>
          <w:t>Upper Pay Range Application Form</w:t>
        </w:r>
      </w:hyperlink>
    </w:p>
    <w:p w14:paraId="53D7C4E5" w14:textId="2A08BEA1" w:rsidR="00B11E7F" w:rsidRDefault="00B11E7F" w:rsidP="007666D6">
      <w:pPr>
        <w:rPr>
          <w:szCs w:val="24"/>
        </w:rPr>
      </w:pPr>
      <w:r w:rsidRPr="00671A82">
        <w:rPr>
          <w:rStyle w:val="Hyperlink"/>
          <w:color w:val="auto"/>
          <w:szCs w:val="24"/>
          <w:u w:val="none"/>
        </w:rPr>
        <w:t>Appendix 3</w:t>
      </w:r>
      <w:r w:rsidRPr="00671A82">
        <w:rPr>
          <w:rStyle w:val="Hyperlink"/>
          <w:color w:val="auto"/>
          <w:szCs w:val="24"/>
          <w:u w:val="none"/>
        </w:rPr>
        <w:tab/>
      </w:r>
      <w:hyperlink w:anchor="PR" w:history="1">
        <w:r w:rsidRPr="00671A82">
          <w:rPr>
            <w:rStyle w:val="Hyperlink"/>
            <w:szCs w:val="24"/>
          </w:rPr>
          <w:t>Pay Ranges</w:t>
        </w:r>
      </w:hyperlink>
    </w:p>
    <w:p w14:paraId="3FF60087" w14:textId="298E2A99" w:rsidR="007666D6" w:rsidRPr="002F2FE9" w:rsidRDefault="00E73E92" w:rsidP="002F2FE9">
      <w:pPr>
        <w:rPr>
          <w:szCs w:val="24"/>
        </w:rPr>
      </w:pPr>
      <w:r>
        <w:rPr>
          <w:szCs w:val="24"/>
        </w:rPr>
        <w:t xml:space="preserve">Appendix </w:t>
      </w:r>
      <w:r w:rsidR="00B11E7F">
        <w:rPr>
          <w:szCs w:val="24"/>
        </w:rPr>
        <w:t>4</w:t>
      </w:r>
      <w:r>
        <w:rPr>
          <w:szCs w:val="24"/>
        </w:rPr>
        <w:tab/>
      </w:r>
      <w:hyperlink w:anchor="Appendix3" w:history="1">
        <w:r w:rsidRPr="00391983">
          <w:rPr>
            <w:rStyle w:val="Hyperlink"/>
            <w:szCs w:val="24"/>
          </w:rPr>
          <w:t>Summary of Changes</w:t>
        </w:r>
      </w:hyperlink>
    </w:p>
    <w:p w14:paraId="40EF9532" w14:textId="02915606" w:rsidR="00E0244A" w:rsidRDefault="00B82353" w:rsidP="00B82353">
      <w:pPr>
        <w:rPr>
          <w:b/>
          <w:szCs w:val="24"/>
        </w:rPr>
      </w:pPr>
      <w:r>
        <w:rPr>
          <w:b/>
          <w:szCs w:val="24"/>
        </w:rPr>
        <w:br w:type="page"/>
      </w:r>
    </w:p>
    <w:p w14:paraId="423B691E" w14:textId="67F9A859" w:rsidR="00F558C7" w:rsidRDefault="00391983" w:rsidP="00391983">
      <w:pPr>
        <w:rPr>
          <w:b/>
          <w:sz w:val="36"/>
          <w:szCs w:val="36"/>
        </w:rPr>
      </w:pPr>
      <w:bookmarkStart w:id="5" w:name="Intro"/>
      <w:r>
        <w:rPr>
          <w:b/>
          <w:sz w:val="36"/>
          <w:szCs w:val="36"/>
        </w:rPr>
        <w:lastRenderedPageBreak/>
        <w:t>1</w:t>
      </w:r>
      <w:r>
        <w:rPr>
          <w:b/>
          <w:sz w:val="36"/>
          <w:szCs w:val="36"/>
        </w:rPr>
        <w:tab/>
      </w:r>
      <w:r w:rsidR="0047080B" w:rsidRPr="0047080B">
        <w:rPr>
          <w:b/>
          <w:sz w:val="36"/>
          <w:szCs w:val="36"/>
        </w:rPr>
        <w:t>Introduction</w:t>
      </w:r>
    </w:p>
    <w:p w14:paraId="7C3C8873" w14:textId="77777777" w:rsidR="004173E7" w:rsidRPr="004173E7" w:rsidRDefault="004173E7" w:rsidP="004173E7">
      <w:pPr>
        <w:ind w:left="1080"/>
        <w:rPr>
          <w:b/>
          <w:szCs w:val="24"/>
        </w:rPr>
      </w:pPr>
    </w:p>
    <w:bookmarkEnd w:id="5"/>
    <w:p w14:paraId="394B9AD7" w14:textId="77777777" w:rsidR="0047080B" w:rsidRDefault="0096515F" w:rsidP="004173E7">
      <w:pPr>
        <w:ind w:left="720" w:hanging="720"/>
        <w:rPr>
          <w:szCs w:val="24"/>
        </w:rPr>
      </w:pPr>
      <w:r>
        <w:rPr>
          <w:szCs w:val="24"/>
        </w:rPr>
        <w:t>1.1</w:t>
      </w:r>
      <w:r>
        <w:rPr>
          <w:szCs w:val="24"/>
        </w:rPr>
        <w:tab/>
      </w:r>
      <w:r w:rsidR="0047080B" w:rsidRPr="0047080B">
        <w:rPr>
          <w:szCs w:val="24"/>
        </w:rPr>
        <w:t xml:space="preserve">This policy sets out the school’s principles and arrangements for making decisions on teachers’ pay.  It has been developed to comply with current legislation and the requirements of the current </w:t>
      </w:r>
      <w:hyperlink r:id="rId12" w:history="1">
        <w:r w:rsidR="0047080B" w:rsidRPr="00B25D97">
          <w:rPr>
            <w:rStyle w:val="Hyperlink"/>
            <w:szCs w:val="24"/>
          </w:rPr>
          <w:t>School Teachers’ Pay and Conditions Document (STPCD)</w:t>
        </w:r>
      </w:hyperlink>
      <w:r w:rsidR="0047080B" w:rsidRPr="0047080B">
        <w:rPr>
          <w:szCs w:val="24"/>
        </w:rPr>
        <w:t>.  The policy covers all areas where schools have discretion within the STPCD to make decisions.  It is not intended to be a duplication of the areas of the STPCD where schools have no discretion and should therefore be used in conjunction with the STPCD to ensure full compliance.</w:t>
      </w:r>
    </w:p>
    <w:p w14:paraId="247FF5B6" w14:textId="77777777" w:rsidR="00EF1450" w:rsidRPr="0047080B" w:rsidRDefault="00EF1450" w:rsidP="004173E7">
      <w:pPr>
        <w:ind w:left="720" w:hanging="720"/>
        <w:rPr>
          <w:szCs w:val="24"/>
        </w:rPr>
      </w:pPr>
    </w:p>
    <w:p w14:paraId="548CB8A8" w14:textId="08FCFDA5" w:rsidR="00EF1450" w:rsidRPr="0047080B" w:rsidRDefault="0096515F" w:rsidP="0EEEFAA6">
      <w:pPr>
        <w:ind w:left="720" w:hanging="720"/>
      </w:pPr>
      <w:r>
        <w:t>1.2</w:t>
      </w:r>
      <w:r w:rsidR="00EF1450">
        <w:tab/>
      </w:r>
      <w:r w:rsidR="0047080B">
        <w:t xml:space="preserve">The Governing Board has developed this policy with the objective of recruiting, retaining and motivating all teachers to ensure the best educational opportunities for pupils at the school.  </w:t>
      </w:r>
      <w:r w:rsidR="001D16BE">
        <w:t>All procedures for determining pay will be consistent with the principles of public life - objectivity, openness and accountability.</w:t>
      </w:r>
    </w:p>
    <w:p w14:paraId="17FA4D81" w14:textId="370714CA" w:rsidR="005B392A" w:rsidRDefault="005B392A" w:rsidP="0EEEFAA6">
      <w:pPr>
        <w:ind w:left="720" w:hanging="720"/>
        <w:rPr>
          <w:b/>
          <w:bCs/>
          <w:sz w:val="22"/>
          <w:szCs w:val="22"/>
        </w:rPr>
      </w:pPr>
    </w:p>
    <w:p w14:paraId="27B9E05C" w14:textId="77777777" w:rsidR="005B392A" w:rsidRPr="00964A76" w:rsidRDefault="005B392A" w:rsidP="005B392A">
      <w:pPr>
        <w:autoSpaceDE w:val="0"/>
        <w:autoSpaceDN w:val="0"/>
        <w:adjustRightInd w:val="0"/>
        <w:ind w:firstLine="720"/>
        <w:rPr>
          <w:rFonts w:eastAsiaTheme="minorHAnsi"/>
          <w:kern w:val="2"/>
          <w:szCs w:val="24"/>
          <w14:ligatures w14:val="standardContextual"/>
        </w:rPr>
      </w:pPr>
      <w:r w:rsidRPr="00964A76">
        <w:rPr>
          <w:rFonts w:eastAsiaTheme="minorHAnsi"/>
          <w:b/>
          <w:bCs/>
          <w:kern w:val="2"/>
          <w:szCs w:val="24"/>
          <w14:ligatures w14:val="standardContextual"/>
        </w:rPr>
        <w:t>Employee Health &amp; Wellbeing</w:t>
      </w:r>
    </w:p>
    <w:p w14:paraId="3E3A6684" w14:textId="123754E5" w:rsidR="005B392A" w:rsidRPr="00964A76" w:rsidRDefault="005B392A" w:rsidP="005B392A">
      <w:pPr>
        <w:autoSpaceDE w:val="0"/>
        <w:autoSpaceDN w:val="0"/>
        <w:adjustRightInd w:val="0"/>
        <w:ind w:left="720" w:hanging="720"/>
        <w:rPr>
          <w:rFonts w:eastAsiaTheme="minorHAnsi"/>
          <w:kern w:val="2"/>
          <w:szCs w:val="24"/>
          <w14:ligatures w14:val="standardContextual"/>
        </w:rPr>
      </w:pPr>
      <w:r w:rsidRPr="00964A76">
        <w:rPr>
          <w:rFonts w:eastAsiaTheme="minorHAnsi"/>
          <w:kern w:val="2"/>
          <w:szCs w:val="24"/>
          <w14:ligatures w14:val="standardContextual"/>
        </w:rPr>
        <w:t>1.4</w:t>
      </w:r>
      <w:r w:rsidRPr="00964A76">
        <w:rPr>
          <w:rFonts w:eastAsiaTheme="minorHAnsi"/>
          <w:kern w:val="2"/>
          <w:szCs w:val="24"/>
          <w14:ligatures w14:val="standardContextual"/>
        </w:rPr>
        <w:tab/>
        <w:t>The school is committed to creating an environment that promotes good physical and mental health and wellbeing, where staff can thrive and feel supported. </w:t>
      </w:r>
    </w:p>
    <w:p w14:paraId="617BB02A" w14:textId="77777777" w:rsidR="005B392A" w:rsidRPr="00964A76" w:rsidRDefault="005B392A" w:rsidP="005B392A">
      <w:pPr>
        <w:autoSpaceDE w:val="0"/>
        <w:autoSpaceDN w:val="0"/>
        <w:adjustRightInd w:val="0"/>
        <w:rPr>
          <w:rFonts w:eastAsiaTheme="minorHAnsi"/>
          <w:kern w:val="2"/>
          <w:szCs w:val="24"/>
          <w14:ligatures w14:val="standardContextual"/>
        </w:rPr>
      </w:pPr>
    </w:p>
    <w:p w14:paraId="61222FC5" w14:textId="43CF0BFE" w:rsidR="005B392A" w:rsidRPr="00964A76" w:rsidRDefault="005B392A" w:rsidP="10FF4C8B">
      <w:pPr>
        <w:autoSpaceDE w:val="0"/>
        <w:autoSpaceDN w:val="0"/>
        <w:adjustRightInd w:val="0"/>
        <w:ind w:left="720" w:hanging="720"/>
        <w:rPr>
          <w:rFonts w:eastAsiaTheme="minorEastAsia"/>
          <w:kern w:val="2"/>
          <w14:ligatures w14:val="standardContextual"/>
        </w:rPr>
      </w:pPr>
      <w:r w:rsidRPr="10FF4C8B">
        <w:rPr>
          <w:rFonts w:eastAsiaTheme="minorEastAsia"/>
          <w:kern w:val="2"/>
          <w14:ligatures w14:val="standardContextual"/>
        </w:rPr>
        <w:t>1.5</w:t>
      </w:r>
      <w:r w:rsidRPr="00964A76">
        <w:rPr>
          <w:rFonts w:eastAsiaTheme="minorHAnsi"/>
          <w:kern w:val="2"/>
          <w:szCs w:val="24"/>
          <w14:ligatures w14:val="standardContextual"/>
        </w:rPr>
        <w:tab/>
      </w:r>
      <w:r w:rsidRPr="10FF4C8B">
        <w:rPr>
          <w:rFonts w:eastAsiaTheme="minorEastAsia"/>
          <w:kern w:val="2"/>
          <w14:ligatures w14:val="standardContextual"/>
        </w:rPr>
        <w:t>Where employees are being supported and managed within this policy, this will be done sensitively with appropriate regard to their individual circumstances. In addition, the school will consider any necessary reasonable adjustments to support an employee to fully engage in the process set out in this policy. This may include, for example, allo</w:t>
      </w:r>
      <w:r w:rsidRPr="10FF4C8B">
        <w:rPr>
          <w:rFonts w:eastAsia="Arial"/>
          <w:kern w:val="2"/>
          <w:szCs w:val="24"/>
          <w14:ligatures w14:val="standardContextual"/>
        </w:rPr>
        <w:t>wing the employee to have an appropriate ‘support’ person accompanying them to a formal meeting</w:t>
      </w:r>
      <w:r w:rsidR="551840D0" w:rsidRPr="10FF4C8B">
        <w:rPr>
          <w:rFonts w:eastAsia="Arial"/>
          <w:kern w:val="2"/>
          <w:szCs w:val="24"/>
          <w14:ligatures w14:val="standardContextual"/>
        </w:rPr>
        <w:t xml:space="preserve"> </w:t>
      </w:r>
      <w:r w:rsidR="551840D0" w:rsidRPr="10FF4C8B">
        <w:rPr>
          <w:rFonts w:eastAsia="Arial"/>
          <w:szCs w:val="24"/>
        </w:rPr>
        <w:t>as well as a Trade Union representative or work colleague</w:t>
      </w:r>
      <w:r w:rsidR="551840D0" w:rsidRPr="10FF4C8B">
        <w:rPr>
          <w:rFonts w:ascii="Aptos" w:eastAsia="Aptos" w:hAnsi="Aptos" w:cs="Aptos"/>
          <w:sz w:val="22"/>
          <w:szCs w:val="22"/>
        </w:rPr>
        <w:t xml:space="preserve">. </w:t>
      </w:r>
      <w:r w:rsidR="551840D0" w:rsidRPr="10FF4C8B">
        <w:rPr>
          <w:rFonts w:eastAsia="Arial"/>
          <w:szCs w:val="24"/>
        </w:rPr>
        <w:t xml:space="preserve"> </w:t>
      </w:r>
    </w:p>
    <w:p w14:paraId="778F83B6" w14:textId="77777777" w:rsidR="005B392A" w:rsidRPr="00964A76" w:rsidRDefault="005B392A" w:rsidP="005B392A">
      <w:pPr>
        <w:autoSpaceDE w:val="0"/>
        <w:autoSpaceDN w:val="0"/>
        <w:adjustRightInd w:val="0"/>
        <w:ind w:left="720" w:hanging="720"/>
        <w:rPr>
          <w:rFonts w:eastAsiaTheme="minorHAnsi"/>
          <w:kern w:val="2"/>
          <w:szCs w:val="24"/>
          <w14:ligatures w14:val="standardContextual"/>
        </w:rPr>
      </w:pPr>
    </w:p>
    <w:p w14:paraId="57BCD394" w14:textId="5795483D" w:rsidR="005B392A" w:rsidRPr="00964A76" w:rsidRDefault="005B392A" w:rsidP="005B392A">
      <w:pPr>
        <w:autoSpaceDE w:val="0"/>
        <w:autoSpaceDN w:val="0"/>
        <w:adjustRightInd w:val="0"/>
        <w:ind w:left="720" w:hanging="720"/>
        <w:rPr>
          <w:rFonts w:eastAsiaTheme="minorHAnsi"/>
          <w:kern w:val="2"/>
          <w:szCs w:val="24"/>
          <w14:ligatures w14:val="standardContextual"/>
        </w:rPr>
      </w:pPr>
      <w:r w:rsidRPr="00964A76">
        <w:rPr>
          <w:rFonts w:eastAsiaTheme="minorHAnsi"/>
          <w:kern w:val="2"/>
          <w:szCs w:val="24"/>
          <w14:ligatures w14:val="standardContextual"/>
        </w:rPr>
        <w:t>1.6</w:t>
      </w:r>
      <w:r w:rsidRPr="00964A76">
        <w:rPr>
          <w:rFonts w:eastAsiaTheme="minorHAnsi"/>
          <w:kern w:val="2"/>
          <w:szCs w:val="24"/>
          <w14:ligatures w14:val="standardContextual"/>
        </w:rPr>
        <w:tab/>
        <w:t>The governing board/trust board is expected to have an overriding regard for the wellbeing of all employees (including that of the Headteacher/CEO) and the board is expected to monitor the impact of strategies and initiatives that promote a positive and sustainable workplace culture. The headteacher/CEO is expected to model a positive and sustainable workplace culture to all employees and seek to reduce unnecessary workload. </w:t>
      </w:r>
    </w:p>
    <w:p w14:paraId="0F5BABD3" w14:textId="77777777" w:rsidR="0096515F" w:rsidRDefault="0096515F" w:rsidP="004173E7">
      <w:pPr>
        <w:ind w:left="720"/>
        <w:rPr>
          <w:szCs w:val="24"/>
        </w:rPr>
      </w:pPr>
    </w:p>
    <w:p w14:paraId="4ADB6D88" w14:textId="77777777" w:rsidR="0047080B" w:rsidRPr="0047080B" w:rsidRDefault="0047080B" w:rsidP="15D4F644">
      <w:pPr>
        <w:rPr>
          <w:b/>
          <w:bCs/>
          <w:sz w:val="36"/>
          <w:szCs w:val="36"/>
        </w:rPr>
      </w:pPr>
      <w:bookmarkStart w:id="6" w:name="Legislation"/>
      <w:r w:rsidRPr="1011A7CF">
        <w:rPr>
          <w:b/>
          <w:bCs/>
          <w:sz w:val="36"/>
          <w:szCs w:val="36"/>
        </w:rPr>
        <w:t>2</w:t>
      </w:r>
      <w:r>
        <w:tab/>
      </w:r>
      <w:r w:rsidRPr="1011A7CF">
        <w:rPr>
          <w:b/>
          <w:bCs/>
          <w:sz w:val="36"/>
          <w:szCs w:val="36"/>
        </w:rPr>
        <w:t>Legislation</w:t>
      </w:r>
    </w:p>
    <w:bookmarkEnd w:id="6"/>
    <w:p w14:paraId="5F05D6DE" w14:textId="77777777" w:rsidR="00124D59" w:rsidRDefault="0047080B" w:rsidP="004173E7">
      <w:pPr>
        <w:rPr>
          <w:szCs w:val="24"/>
        </w:rPr>
      </w:pPr>
      <w:r w:rsidRPr="0047080B">
        <w:rPr>
          <w:szCs w:val="24"/>
        </w:rPr>
        <w:tab/>
      </w:r>
    </w:p>
    <w:p w14:paraId="7E10E207" w14:textId="77777777" w:rsidR="0047080B" w:rsidRDefault="0096515F" w:rsidP="0096515F">
      <w:pPr>
        <w:rPr>
          <w:szCs w:val="24"/>
        </w:rPr>
      </w:pPr>
      <w:r>
        <w:rPr>
          <w:szCs w:val="24"/>
        </w:rPr>
        <w:t>2.1</w:t>
      </w:r>
      <w:r>
        <w:rPr>
          <w:szCs w:val="24"/>
        </w:rPr>
        <w:tab/>
      </w:r>
      <w:r w:rsidR="0047080B" w:rsidRPr="0047080B">
        <w:rPr>
          <w:szCs w:val="24"/>
        </w:rPr>
        <w:t>The implementation of this pay policy will comply with:</w:t>
      </w:r>
    </w:p>
    <w:p w14:paraId="68BC2F82" w14:textId="77777777" w:rsidR="0047080B" w:rsidRPr="0047080B" w:rsidRDefault="0047080B" w:rsidP="004173E7">
      <w:pPr>
        <w:rPr>
          <w:szCs w:val="24"/>
        </w:rPr>
      </w:pPr>
    </w:p>
    <w:p w14:paraId="16778FEE" w14:textId="77777777" w:rsidR="0047080B" w:rsidRDefault="0047080B" w:rsidP="00106ACD">
      <w:pPr>
        <w:numPr>
          <w:ilvl w:val="0"/>
          <w:numId w:val="9"/>
        </w:numPr>
        <w:ind w:hanging="447"/>
        <w:rPr>
          <w:szCs w:val="24"/>
        </w:rPr>
      </w:pPr>
      <w:r w:rsidRPr="0047080B">
        <w:rPr>
          <w:szCs w:val="24"/>
        </w:rPr>
        <w:t xml:space="preserve">The Equality Act 2010 </w:t>
      </w:r>
    </w:p>
    <w:p w14:paraId="03D9610D" w14:textId="77777777" w:rsidR="0047080B" w:rsidRPr="0047080B" w:rsidRDefault="0047080B" w:rsidP="00106ACD">
      <w:pPr>
        <w:numPr>
          <w:ilvl w:val="0"/>
          <w:numId w:val="9"/>
        </w:numPr>
        <w:ind w:hanging="447"/>
        <w:rPr>
          <w:szCs w:val="24"/>
        </w:rPr>
      </w:pPr>
      <w:r w:rsidRPr="0047080B">
        <w:rPr>
          <w:szCs w:val="24"/>
        </w:rPr>
        <w:t xml:space="preserve">The Part Time Workers (Prevention of Less Favourable Treatment) Regulations </w:t>
      </w:r>
      <w:proofErr w:type="gramStart"/>
      <w:r w:rsidRPr="0047080B">
        <w:rPr>
          <w:szCs w:val="24"/>
        </w:rPr>
        <w:t>2000;</w:t>
      </w:r>
      <w:proofErr w:type="gramEnd"/>
    </w:p>
    <w:p w14:paraId="456CDD0E" w14:textId="77777777" w:rsidR="0047080B" w:rsidRPr="0047080B" w:rsidRDefault="0047080B" w:rsidP="00106ACD">
      <w:pPr>
        <w:numPr>
          <w:ilvl w:val="0"/>
          <w:numId w:val="9"/>
        </w:numPr>
        <w:ind w:hanging="447"/>
        <w:rPr>
          <w:szCs w:val="24"/>
        </w:rPr>
      </w:pPr>
      <w:r w:rsidRPr="0047080B">
        <w:rPr>
          <w:szCs w:val="24"/>
        </w:rPr>
        <w:t xml:space="preserve">The Fixed Term Employees (Prevention of Less Favourable Treatment) Regulations 2000 The Employment Rights Act 1996, the Employment Relations Act 1999, the Employment Act 2002 and the Employment Act </w:t>
      </w:r>
      <w:proofErr w:type="gramStart"/>
      <w:r w:rsidRPr="0047080B">
        <w:rPr>
          <w:szCs w:val="24"/>
        </w:rPr>
        <w:t>2008;</w:t>
      </w:r>
      <w:proofErr w:type="gramEnd"/>
    </w:p>
    <w:p w14:paraId="7C6937CD" w14:textId="77777777" w:rsidR="0047080B" w:rsidRPr="0047080B" w:rsidRDefault="0047080B" w:rsidP="00106ACD">
      <w:pPr>
        <w:numPr>
          <w:ilvl w:val="0"/>
          <w:numId w:val="9"/>
        </w:numPr>
        <w:ind w:hanging="447"/>
        <w:rPr>
          <w:szCs w:val="24"/>
        </w:rPr>
      </w:pPr>
      <w:r w:rsidRPr="0047080B">
        <w:rPr>
          <w:szCs w:val="24"/>
        </w:rPr>
        <w:t>Agency Workers Regulations 2010</w:t>
      </w:r>
    </w:p>
    <w:p w14:paraId="6B8EABE1" w14:textId="77777777" w:rsidR="0047080B" w:rsidRPr="0047080B" w:rsidRDefault="0047080B" w:rsidP="00106ACD">
      <w:pPr>
        <w:numPr>
          <w:ilvl w:val="0"/>
          <w:numId w:val="9"/>
        </w:numPr>
        <w:ind w:hanging="447"/>
        <w:rPr>
          <w:szCs w:val="24"/>
        </w:rPr>
      </w:pPr>
      <w:r w:rsidRPr="0047080B">
        <w:rPr>
          <w:szCs w:val="24"/>
        </w:rPr>
        <w:lastRenderedPageBreak/>
        <w:t xml:space="preserve">The current edition of the School Teacher’s Pay and Conditions Document </w:t>
      </w:r>
    </w:p>
    <w:p w14:paraId="5B64D30B" w14:textId="3B3B804E" w:rsidR="0047080B" w:rsidRDefault="0047080B" w:rsidP="004173E7">
      <w:pPr>
        <w:rPr>
          <w:szCs w:val="24"/>
          <w:highlight w:val="green"/>
        </w:rPr>
      </w:pPr>
    </w:p>
    <w:p w14:paraId="74B5FFAF" w14:textId="77777777" w:rsidR="00F0694A" w:rsidRDefault="00F0694A" w:rsidP="004173E7">
      <w:pPr>
        <w:rPr>
          <w:szCs w:val="24"/>
          <w:highlight w:val="green"/>
        </w:rPr>
      </w:pPr>
    </w:p>
    <w:p w14:paraId="46013406" w14:textId="77777777" w:rsidR="00C1315A" w:rsidRDefault="00C1315A" w:rsidP="00C1315A">
      <w:pPr>
        <w:autoSpaceDE w:val="0"/>
        <w:autoSpaceDN w:val="0"/>
        <w:rPr>
          <w:b/>
          <w:bCs/>
          <w:sz w:val="36"/>
          <w:szCs w:val="36"/>
        </w:rPr>
      </w:pPr>
      <w:r>
        <w:rPr>
          <w:b/>
          <w:bCs/>
          <w:sz w:val="36"/>
          <w:szCs w:val="36"/>
        </w:rPr>
        <w:t>3</w:t>
      </w:r>
      <w:bookmarkStart w:id="7" w:name="_Hlk20911891"/>
      <w:bookmarkStart w:id="8" w:name="Consistency"/>
      <w:r>
        <w:rPr>
          <w:b/>
          <w:bCs/>
          <w:sz w:val="36"/>
          <w:szCs w:val="36"/>
        </w:rPr>
        <w:tab/>
      </w:r>
      <w:r w:rsidRPr="00C1315A">
        <w:rPr>
          <w:b/>
          <w:bCs/>
          <w:sz w:val="36"/>
          <w:szCs w:val="36"/>
        </w:rPr>
        <w:t xml:space="preserve">Consistency of Treatment and Fairness </w:t>
      </w:r>
      <w:bookmarkEnd w:id="7"/>
      <w:bookmarkEnd w:id="8"/>
    </w:p>
    <w:p w14:paraId="37359AA7" w14:textId="77777777" w:rsidR="00C1315A" w:rsidRPr="00391983" w:rsidRDefault="00C1315A" w:rsidP="00C1315A">
      <w:pPr>
        <w:autoSpaceDE w:val="0"/>
        <w:autoSpaceDN w:val="0"/>
        <w:ind w:left="1080"/>
        <w:rPr>
          <w:b/>
          <w:bCs/>
          <w:szCs w:val="24"/>
        </w:rPr>
      </w:pPr>
    </w:p>
    <w:p w14:paraId="1E7AD5A8" w14:textId="77777777" w:rsidR="00C1315A" w:rsidRDefault="00C1315A" w:rsidP="00C1315A">
      <w:pPr>
        <w:autoSpaceDE w:val="0"/>
        <w:autoSpaceDN w:val="0"/>
        <w:ind w:left="720" w:hanging="720"/>
      </w:pPr>
      <w:r>
        <w:t>3.1</w:t>
      </w:r>
      <w:r>
        <w:tab/>
      </w:r>
      <w:r w:rsidRPr="00C1315A">
        <w:t xml:space="preserve">The Governing board is committed to ensuring consistency of treatment and fairness. It will abide by all relevant equality legislation, </w:t>
      </w:r>
      <w:r w:rsidR="00FF753D" w:rsidRPr="00FF753D">
        <w:t>including where the duty to make reasonable adjustments applies</w:t>
      </w:r>
      <w:r w:rsidRPr="00C1315A">
        <w:t>. The Governing board is aware of the guidance on the Equality Act issued by the Department for Education.</w:t>
      </w:r>
    </w:p>
    <w:p w14:paraId="21B5AC5C" w14:textId="77777777" w:rsidR="001867B6" w:rsidRDefault="001867B6" w:rsidP="00C1315A">
      <w:pPr>
        <w:autoSpaceDE w:val="0"/>
        <w:autoSpaceDN w:val="0"/>
        <w:ind w:left="720" w:hanging="720"/>
      </w:pPr>
    </w:p>
    <w:p w14:paraId="7AA30CBD" w14:textId="77777777" w:rsidR="0078796B" w:rsidRDefault="0078796B" w:rsidP="00C1315A">
      <w:pPr>
        <w:autoSpaceDE w:val="0"/>
        <w:autoSpaceDN w:val="0"/>
        <w:ind w:left="720" w:hanging="720"/>
      </w:pPr>
    </w:p>
    <w:p w14:paraId="309B2E9C" w14:textId="77777777" w:rsidR="0078796B" w:rsidRDefault="0078796B" w:rsidP="001867B6">
      <w:pPr>
        <w:autoSpaceDE w:val="0"/>
        <w:autoSpaceDN w:val="0"/>
        <w:adjustRightInd w:val="0"/>
        <w:spacing w:after="160" w:line="257" w:lineRule="auto"/>
        <w:ind w:left="720" w:hanging="720"/>
        <w:rPr>
          <w:rFonts w:eastAsiaTheme="minorHAnsi"/>
          <w:kern w:val="2"/>
          <w:szCs w:val="24"/>
          <w:highlight w:val="green"/>
          <w14:ligatures w14:val="standardContextual"/>
        </w:rPr>
      </w:pPr>
    </w:p>
    <w:p w14:paraId="44DE3B21" w14:textId="1C8F386F" w:rsidR="00391983" w:rsidRDefault="00391983" w:rsidP="004173E7">
      <w:pPr>
        <w:rPr>
          <w:rFonts w:eastAsia="Arial"/>
          <w:szCs w:val="24"/>
          <w:highlight w:val="green"/>
        </w:rPr>
      </w:pPr>
    </w:p>
    <w:p w14:paraId="0E3505EC" w14:textId="2B9B8BE9" w:rsidR="0078796B" w:rsidRDefault="0078796B" w:rsidP="004173E7">
      <w:pPr>
        <w:rPr>
          <w:rFonts w:eastAsia="Arial"/>
          <w:szCs w:val="24"/>
          <w:highlight w:val="green"/>
        </w:rPr>
      </w:pPr>
      <w:r>
        <w:rPr>
          <w:rFonts w:eastAsia="Arial"/>
          <w:szCs w:val="24"/>
          <w:highlight w:val="green"/>
        </w:rPr>
        <w:br/>
      </w:r>
    </w:p>
    <w:p w14:paraId="09534177" w14:textId="77777777" w:rsidR="0078796B" w:rsidRDefault="0078796B">
      <w:pPr>
        <w:rPr>
          <w:rFonts w:eastAsia="Arial"/>
          <w:szCs w:val="24"/>
          <w:highlight w:val="green"/>
        </w:rPr>
      </w:pPr>
      <w:r>
        <w:rPr>
          <w:rFonts w:eastAsia="Arial"/>
          <w:szCs w:val="24"/>
          <w:highlight w:val="green"/>
        </w:rPr>
        <w:br w:type="page"/>
      </w:r>
    </w:p>
    <w:p w14:paraId="238B21C7" w14:textId="77777777" w:rsidR="0078796B" w:rsidRDefault="0078796B" w:rsidP="004173E7">
      <w:pPr>
        <w:rPr>
          <w:szCs w:val="24"/>
          <w:highlight w:val="green"/>
        </w:rPr>
      </w:pPr>
    </w:p>
    <w:p w14:paraId="3D74ACD4" w14:textId="7F8F5596" w:rsidR="00391983" w:rsidRPr="000218B3" w:rsidRDefault="00D3767D" w:rsidP="004173E7">
      <w:pPr>
        <w:rPr>
          <w:b/>
          <w:bCs/>
          <w:sz w:val="36"/>
          <w:szCs w:val="36"/>
        </w:rPr>
      </w:pPr>
      <w:r w:rsidRPr="000218B3">
        <w:rPr>
          <w:b/>
          <w:bCs/>
          <w:sz w:val="36"/>
          <w:szCs w:val="36"/>
        </w:rPr>
        <w:t>PART ONE</w:t>
      </w:r>
    </w:p>
    <w:p w14:paraId="38D35AB9" w14:textId="1F4C2F2B" w:rsidR="00D3767D" w:rsidRPr="000218B3" w:rsidRDefault="00D3767D" w:rsidP="004173E7">
      <w:pPr>
        <w:rPr>
          <w:b/>
          <w:bCs/>
          <w:sz w:val="36"/>
          <w:szCs w:val="36"/>
        </w:rPr>
      </w:pPr>
    </w:p>
    <w:p w14:paraId="48BA54CB" w14:textId="0851CC42" w:rsidR="00D3767D" w:rsidRPr="000218B3" w:rsidRDefault="00E6652F" w:rsidP="5BD2FCF6">
      <w:pPr>
        <w:rPr>
          <w:b/>
          <w:bCs/>
          <w:sz w:val="36"/>
          <w:szCs w:val="36"/>
        </w:rPr>
      </w:pPr>
      <w:r w:rsidRPr="5BD2FCF6">
        <w:rPr>
          <w:b/>
          <w:bCs/>
          <w:sz w:val="36"/>
          <w:szCs w:val="36"/>
        </w:rPr>
        <w:t>202</w:t>
      </w:r>
      <w:r w:rsidR="1655F68D" w:rsidRPr="5BD2FCF6">
        <w:rPr>
          <w:b/>
          <w:bCs/>
          <w:sz w:val="36"/>
          <w:szCs w:val="36"/>
        </w:rPr>
        <w:t>5</w:t>
      </w:r>
      <w:r w:rsidR="00453A22" w:rsidRPr="5BD2FCF6">
        <w:rPr>
          <w:b/>
          <w:bCs/>
          <w:sz w:val="36"/>
          <w:szCs w:val="36"/>
        </w:rPr>
        <w:t>/202</w:t>
      </w:r>
      <w:r w:rsidR="6F3411F2" w:rsidRPr="5BD2FCF6">
        <w:rPr>
          <w:b/>
          <w:bCs/>
          <w:sz w:val="36"/>
          <w:szCs w:val="36"/>
        </w:rPr>
        <w:t>6</w:t>
      </w:r>
      <w:r w:rsidRPr="5BD2FCF6">
        <w:rPr>
          <w:b/>
          <w:bCs/>
          <w:sz w:val="36"/>
          <w:szCs w:val="36"/>
        </w:rPr>
        <w:t xml:space="preserve"> PAY </w:t>
      </w:r>
    </w:p>
    <w:p w14:paraId="4078BE44" w14:textId="77777777" w:rsidR="00391983" w:rsidRPr="0047080B" w:rsidRDefault="00391983" w:rsidP="5BD2FCF6"/>
    <w:p w14:paraId="44EFCE54" w14:textId="77777777" w:rsidR="0047080B" w:rsidRPr="0047080B" w:rsidRDefault="00C1315A" w:rsidP="5BD2FCF6">
      <w:pPr>
        <w:rPr>
          <w:b/>
          <w:bCs/>
          <w:sz w:val="36"/>
          <w:szCs w:val="36"/>
        </w:rPr>
      </w:pPr>
      <w:bookmarkStart w:id="9" w:name="Principles"/>
      <w:r w:rsidRPr="5BD2FCF6">
        <w:rPr>
          <w:b/>
          <w:bCs/>
          <w:sz w:val="36"/>
          <w:szCs w:val="36"/>
        </w:rPr>
        <w:t>4</w:t>
      </w:r>
      <w:r>
        <w:tab/>
      </w:r>
      <w:r w:rsidR="0047080B" w:rsidRPr="5BD2FCF6">
        <w:rPr>
          <w:b/>
          <w:bCs/>
          <w:sz w:val="36"/>
          <w:szCs w:val="36"/>
        </w:rPr>
        <w:t>Principles</w:t>
      </w:r>
    </w:p>
    <w:bookmarkEnd w:id="9"/>
    <w:p w14:paraId="3ECB496D" w14:textId="77777777" w:rsidR="00124D59" w:rsidRDefault="00124D59" w:rsidP="5BD2FCF6">
      <w:pPr>
        <w:ind w:left="720"/>
      </w:pPr>
    </w:p>
    <w:p w14:paraId="17CCBD6E" w14:textId="77777777" w:rsidR="00124D59" w:rsidRDefault="00F935F6" w:rsidP="5BD2FCF6">
      <w:pPr>
        <w:ind w:left="720" w:hanging="720"/>
      </w:pPr>
      <w:r>
        <w:t>4.</w:t>
      </w:r>
      <w:r w:rsidR="0096515F">
        <w:t>1</w:t>
      </w:r>
      <w:r>
        <w:tab/>
      </w:r>
      <w:r w:rsidR="0047080B">
        <w:t xml:space="preserve">The Governing Board will ensure its processes are open, transparent and fair.  All decisions will be objectively justified.  Adjustments will be made to take account of special circumstances, for example maternity leave or other </w:t>
      </w:r>
      <w:proofErr w:type="gramStart"/>
      <w:r w:rsidR="0047080B">
        <w:t>long term</w:t>
      </w:r>
      <w:proofErr w:type="gramEnd"/>
      <w:r w:rsidR="0047080B">
        <w:t xml:space="preserve"> absence. The exact adjustments will be made on a </w:t>
      </w:r>
      <w:proofErr w:type="gramStart"/>
      <w:r w:rsidR="0047080B">
        <w:t>case by case</w:t>
      </w:r>
      <w:proofErr w:type="gramEnd"/>
      <w:r w:rsidR="0047080B">
        <w:t xml:space="preserve"> basis.</w:t>
      </w:r>
    </w:p>
    <w:p w14:paraId="2CFEE3D0" w14:textId="53CF37DF" w:rsidR="009F5B16" w:rsidRPr="00CA34CA" w:rsidRDefault="009F5B16" w:rsidP="0EEEFAA6">
      <w:pPr>
        <w:ind w:left="720" w:hanging="720"/>
      </w:pPr>
    </w:p>
    <w:p w14:paraId="7C42587A" w14:textId="6E5C6E97" w:rsidR="009F5B16" w:rsidRPr="00CA34CA" w:rsidRDefault="708D3593" w:rsidP="5A7B3B2C">
      <w:pPr>
        <w:ind w:left="720" w:hanging="720"/>
      </w:pPr>
      <w:r>
        <w:t>4.3</w:t>
      </w:r>
      <w:r>
        <w:tab/>
      </w:r>
      <w:r w:rsidR="354E3A24">
        <w:t>Pay decisions for 20</w:t>
      </w:r>
      <w:r w:rsidR="66A157DE">
        <w:t>2</w:t>
      </w:r>
      <w:r w:rsidR="354E3A24">
        <w:t>4/25 academic year</w:t>
      </w:r>
      <w:r w:rsidR="63AEB69E">
        <w:t>,</w:t>
      </w:r>
      <w:r w:rsidR="354E3A24">
        <w:t xml:space="preserve"> </w:t>
      </w:r>
      <w:r w:rsidR="4A6BE6BC">
        <w:t>which will be taken in September/October 2025</w:t>
      </w:r>
      <w:r w:rsidR="1C723BF1">
        <w:t>,</w:t>
      </w:r>
      <w:r w:rsidR="354E3A24">
        <w:t xml:space="preserve"> will not be subject to performance related pay requirements</w:t>
      </w:r>
      <w:r w:rsidR="066BEB7A">
        <w:t xml:space="preserve"> </w:t>
      </w:r>
      <w:proofErr w:type="gramStart"/>
      <w:r w:rsidR="066BEB7A">
        <w:t>with the exception of</w:t>
      </w:r>
      <w:proofErr w:type="gramEnd"/>
      <w:r w:rsidR="066BEB7A">
        <w:t xml:space="preserve"> progression to and within the Upper Pay Range where it will remain a requirement to </w:t>
      </w:r>
      <w:r w:rsidR="6EF2F3D4">
        <w:t>demonstrate you meet the definitions as set out in parag</w:t>
      </w:r>
      <w:r w:rsidR="599DCB7B">
        <w:t>raph 13.6</w:t>
      </w:r>
      <w:r w:rsidR="354E3A24">
        <w:t xml:space="preserve">. </w:t>
      </w:r>
    </w:p>
    <w:p w14:paraId="66DCD21A" w14:textId="14C8FEF6" w:rsidR="001F47BD" w:rsidRPr="00CA34CA" w:rsidRDefault="001F47BD" w:rsidP="00EB35CF"/>
    <w:p w14:paraId="174C6F31" w14:textId="36B2C322" w:rsidR="00622ADA" w:rsidRPr="00CA34CA" w:rsidRDefault="00EB35CF" w:rsidP="006737D1">
      <w:pPr>
        <w:rPr>
          <w:szCs w:val="24"/>
        </w:rPr>
      </w:pPr>
      <w:r w:rsidRPr="00CA34CA">
        <w:rPr>
          <w:szCs w:val="24"/>
        </w:rPr>
        <w:t>4.4</w:t>
      </w:r>
      <w:r w:rsidRPr="00CA34CA">
        <w:rPr>
          <w:szCs w:val="24"/>
        </w:rPr>
        <w:tab/>
      </w:r>
      <w:r w:rsidR="00622ADA" w:rsidRPr="00CA34CA">
        <w:rPr>
          <w:szCs w:val="24"/>
        </w:rPr>
        <w:t>In adopting this pay policy the aim is to:</w:t>
      </w:r>
    </w:p>
    <w:p w14:paraId="096279AA" w14:textId="77777777" w:rsidR="00622ADA" w:rsidRPr="00CA34CA" w:rsidRDefault="00622ADA" w:rsidP="00622ADA">
      <w:pPr>
        <w:ind w:left="720" w:hanging="720"/>
        <w:rPr>
          <w:szCs w:val="24"/>
        </w:rPr>
      </w:pPr>
    </w:p>
    <w:p w14:paraId="796D1B7C" w14:textId="77777777" w:rsidR="00106ACD" w:rsidRPr="00106ACD" w:rsidRDefault="00622ADA" w:rsidP="00D13A0A">
      <w:pPr>
        <w:pStyle w:val="ListParagraph"/>
        <w:numPr>
          <w:ilvl w:val="0"/>
          <w:numId w:val="21"/>
        </w:numPr>
        <w:ind w:left="1418" w:hanging="425"/>
        <w:rPr>
          <w:rFonts w:ascii="Arial" w:hAnsi="Arial" w:cs="Arial"/>
        </w:rPr>
      </w:pPr>
      <w:r w:rsidRPr="00106ACD">
        <w:rPr>
          <w:rFonts w:ascii="Arial" w:hAnsi="Arial" w:cs="Arial"/>
        </w:rPr>
        <w:t>maximise the quality of teaching and learning at the school</w:t>
      </w:r>
    </w:p>
    <w:p w14:paraId="2B57A5FF" w14:textId="77777777" w:rsidR="00106ACD" w:rsidRPr="00106ACD" w:rsidRDefault="00622ADA" w:rsidP="00D13A0A">
      <w:pPr>
        <w:pStyle w:val="ListParagraph"/>
        <w:numPr>
          <w:ilvl w:val="0"/>
          <w:numId w:val="21"/>
        </w:numPr>
        <w:ind w:left="1418" w:hanging="425"/>
        <w:rPr>
          <w:rFonts w:ascii="Arial" w:hAnsi="Arial" w:cs="Arial"/>
        </w:rPr>
      </w:pPr>
      <w:r w:rsidRPr="00106ACD">
        <w:rPr>
          <w:rFonts w:ascii="Arial" w:hAnsi="Arial" w:cs="Arial"/>
        </w:rPr>
        <w:t xml:space="preserve">support the recruitment and retention of a </w:t>
      </w:r>
      <w:proofErr w:type="gramStart"/>
      <w:r w:rsidRPr="00106ACD">
        <w:rPr>
          <w:rFonts w:ascii="Arial" w:hAnsi="Arial" w:cs="Arial"/>
        </w:rPr>
        <w:t>high quality</w:t>
      </w:r>
      <w:proofErr w:type="gramEnd"/>
      <w:r w:rsidRPr="00106ACD">
        <w:rPr>
          <w:rFonts w:ascii="Arial" w:hAnsi="Arial" w:cs="Arial"/>
        </w:rPr>
        <w:t xml:space="preserve"> teacher workforce </w:t>
      </w:r>
    </w:p>
    <w:p w14:paraId="0DDE6350" w14:textId="77777777" w:rsidR="00106ACD" w:rsidRPr="00106ACD" w:rsidRDefault="00622ADA" w:rsidP="00D13A0A">
      <w:pPr>
        <w:pStyle w:val="ListParagraph"/>
        <w:numPr>
          <w:ilvl w:val="0"/>
          <w:numId w:val="21"/>
        </w:numPr>
        <w:ind w:left="1418" w:hanging="425"/>
        <w:rPr>
          <w:rFonts w:ascii="Arial" w:hAnsi="Arial" w:cs="Arial"/>
        </w:rPr>
      </w:pPr>
      <w:r w:rsidRPr="00106ACD">
        <w:rPr>
          <w:rFonts w:ascii="Arial" w:hAnsi="Arial" w:cs="Arial"/>
        </w:rPr>
        <w:t xml:space="preserve">enable the school to recognise and reward teachers appropriately for their contribution to the school </w:t>
      </w:r>
    </w:p>
    <w:p w14:paraId="51693734" w14:textId="34179DB2" w:rsidR="00622ADA" w:rsidRPr="00106ACD" w:rsidRDefault="00622ADA" w:rsidP="00D13A0A">
      <w:pPr>
        <w:pStyle w:val="ListParagraph"/>
        <w:numPr>
          <w:ilvl w:val="0"/>
          <w:numId w:val="21"/>
        </w:numPr>
        <w:ind w:left="1418" w:hanging="425"/>
        <w:rPr>
          <w:rFonts w:ascii="Arial" w:hAnsi="Arial" w:cs="Arial"/>
        </w:rPr>
      </w:pPr>
      <w:r w:rsidRPr="00106ACD">
        <w:rPr>
          <w:rFonts w:ascii="Arial" w:hAnsi="Arial" w:cs="Arial"/>
        </w:rPr>
        <w:t>help to ensure that decisions on pay are managed in a fair, just and transparent way whilst eliminating unnecessary bureaucracy for all concerned.</w:t>
      </w:r>
    </w:p>
    <w:p w14:paraId="537F36ED" w14:textId="0895AD67" w:rsidR="00622ADA" w:rsidRDefault="00622ADA" w:rsidP="00106ACD">
      <w:pPr>
        <w:ind w:left="1418" w:hanging="425"/>
        <w:rPr>
          <w:szCs w:val="24"/>
        </w:rPr>
      </w:pPr>
    </w:p>
    <w:p w14:paraId="068DF0EF" w14:textId="77777777" w:rsidR="00622ADA" w:rsidRDefault="00622ADA" w:rsidP="00106ACD">
      <w:pPr>
        <w:ind w:left="1418" w:hanging="425"/>
        <w:rPr>
          <w:szCs w:val="24"/>
        </w:rPr>
      </w:pPr>
    </w:p>
    <w:p w14:paraId="248BEED8" w14:textId="3E861F1C" w:rsidR="001253F4" w:rsidRDefault="00EB35CF" w:rsidP="00106ACD">
      <w:pPr>
        <w:ind w:left="720" w:hanging="720"/>
        <w:rPr>
          <w:b/>
          <w:bCs/>
          <w:sz w:val="22"/>
          <w:szCs w:val="22"/>
        </w:rPr>
      </w:pPr>
      <w:r>
        <w:t>4.5</w:t>
      </w:r>
      <w:r>
        <w:tab/>
      </w:r>
      <w:r w:rsidR="00622ADA">
        <w:t xml:space="preserve">Pay decisions at this school are made by </w:t>
      </w:r>
      <w:r w:rsidR="00622ADA" w:rsidRPr="00AD4B38">
        <w:t>the governance board</w:t>
      </w:r>
      <w:r w:rsidR="00622ADA">
        <w:t>.</w:t>
      </w:r>
      <w:r w:rsidR="61BA71DA">
        <w:t xml:space="preserve"> </w:t>
      </w:r>
    </w:p>
    <w:p w14:paraId="56729E95" w14:textId="77777777" w:rsidR="00C14830" w:rsidRDefault="00C14830" w:rsidP="5BD2FCF6">
      <w:pPr>
        <w:rPr>
          <w:b/>
          <w:bCs/>
        </w:rPr>
      </w:pPr>
    </w:p>
    <w:p w14:paraId="3E39DA1F" w14:textId="118C798B" w:rsidR="0047080B" w:rsidRPr="0047080B" w:rsidRDefault="00F935F6" w:rsidP="0EE99E74">
      <w:pPr>
        <w:rPr>
          <w:b/>
          <w:bCs/>
          <w:sz w:val="36"/>
          <w:szCs w:val="36"/>
        </w:rPr>
      </w:pPr>
      <w:r w:rsidRPr="5BD2FCF6">
        <w:rPr>
          <w:b/>
          <w:bCs/>
          <w:sz w:val="36"/>
          <w:szCs w:val="36"/>
        </w:rPr>
        <w:t>5</w:t>
      </w:r>
      <w:r>
        <w:tab/>
      </w:r>
      <w:bookmarkStart w:id="10" w:name="September_Pay_Award"/>
      <w:r w:rsidR="0047080B" w:rsidRPr="5BD2FCF6">
        <w:rPr>
          <w:b/>
          <w:bCs/>
          <w:sz w:val="36"/>
          <w:szCs w:val="36"/>
        </w:rPr>
        <w:t>September 20</w:t>
      </w:r>
      <w:r w:rsidR="00AE601D" w:rsidRPr="5BD2FCF6">
        <w:rPr>
          <w:b/>
          <w:bCs/>
          <w:sz w:val="36"/>
          <w:szCs w:val="36"/>
        </w:rPr>
        <w:t>2</w:t>
      </w:r>
      <w:r w:rsidR="76AE507A" w:rsidRPr="5BD2FCF6">
        <w:rPr>
          <w:b/>
          <w:bCs/>
          <w:sz w:val="36"/>
          <w:szCs w:val="36"/>
        </w:rPr>
        <w:t>5</w:t>
      </w:r>
      <w:r w:rsidR="0047080B" w:rsidRPr="5BD2FCF6">
        <w:rPr>
          <w:b/>
          <w:bCs/>
          <w:sz w:val="36"/>
          <w:szCs w:val="36"/>
        </w:rPr>
        <w:t xml:space="preserve"> Pay Award</w:t>
      </w:r>
      <w:bookmarkEnd w:id="10"/>
    </w:p>
    <w:p w14:paraId="4C71A26A" w14:textId="77777777" w:rsidR="00124D59" w:rsidRDefault="0047080B" w:rsidP="5BD2FCF6">
      <w:pPr>
        <w:ind w:left="720" w:hanging="720"/>
      </w:pPr>
      <w:r w:rsidRPr="0047080B">
        <w:rPr>
          <w:szCs w:val="24"/>
        </w:rPr>
        <w:tab/>
      </w:r>
    </w:p>
    <w:p w14:paraId="3E709D77" w14:textId="78D7C541" w:rsidR="002439D2" w:rsidRPr="006503BD" w:rsidRDefault="00F935F6" w:rsidP="00881611">
      <w:pPr>
        <w:ind w:left="720" w:hanging="720"/>
      </w:pPr>
      <w:r>
        <w:t>5</w:t>
      </w:r>
      <w:r w:rsidR="0096515F">
        <w:t>.1</w:t>
      </w:r>
      <w:r>
        <w:tab/>
      </w:r>
      <w:r w:rsidR="0047080B">
        <w:t xml:space="preserve">This school is committed to </w:t>
      </w:r>
      <w:r w:rsidR="002439D2">
        <w:t>implementing the changes set out within the School Teachers’ Pay and Conditions Document 202</w:t>
      </w:r>
      <w:r w:rsidR="7DE384E0">
        <w:t>5</w:t>
      </w:r>
      <w:r w:rsidR="002439D2">
        <w:t>:</w:t>
      </w:r>
    </w:p>
    <w:p w14:paraId="0BC7956C" w14:textId="77777777" w:rsidR="004F5931" w:rsidRPr="006503BD" w:rsidRDefault="004F5931" w:rsidP="1011A7CF">
      <w:pPr>
        <w:ind w:left="720" w:hanging="720"/>
      </w:pPr>
    </w:p>
    <w:p w14:paraId="1162A0FC" w14:textId="016BDB64" w:rsidR="00823D11" w:rsidRPr="00DA2F77" w:rsidRDefault="00823D11" w:rsidP="00D13A0A">
      <w:pPr>
        <w:pStyle w:val="ListParagraph"/>
        <w:numPr>
          <w:ilvl w:val="0"/>
          <w:numId w:val="17"/>
        </w:numPr>
        <w:ind w:left="1418" w:hanging="425"/>
        <w:rPr>
          <w:rFonts w:ascii="Arial" w:eastAsia="Ariel" w:hAnsi="Arial" w:cs="Arial"/>
        </w:rPr>
      </w:pPr>
      <w:r w:rsidRPr="5BD2FCF6">
        <w:rPr>
          <w:rFonts w:ascii="Arial" w:eastAsia="Ariel" w:hAnsi="Arial" w:cs="Arial"/>
        </w:rPr>
        <w:t>4% increase will be applied to all pay points and allowance ranges and advisory points.</w:t>
      </w:r>
    </w:p>
    <w:p w14:paraId="787F146D" w14:textId="77777777" w:rsidR="002439D2" w:rsidRDefault="002439D2" w:rsidP="00AD2131">
      <w:pPr>
        <w:ind w:left="1418" w:hanging="425"/>
        <w:rPr>
          <w:szCs w:val="24"/>
        </w:rPr>
      </w:pPr>
    </w:p>
    <w:p w14:paraId="44318F8A" w14:textId="20E38DC1" w:rsidR="0096515F" w:rsidRDefault="00F935F6" w:rsidP="6BEBBADE">
      <w:pPr>
        <w:rPr>
          <w:b/>
          <w:bCs/>
          <w:sz w:val="22"/>
          <w:szCs w:val="22"/>
        </w:rPr>
      </w:pPr>
      <w:r>
        <w:t>5</w:t>
      </w:r>
      <w:r w:rsidR="0096515F">
        <w:t>.</w:t>
      </w:r>
      <w:r w:rsidR="0076064B">
        <w:t>2</w:t>
      </w:r>
      <w:r>
        <w:tab/>
      </w:r>
      <w:r w:rsidR="002439D2">
        <w:t>Changes will be backdated to 1</w:t>
      </w:r>
      <w:r w:rsidR="002439D2" w:rsidRPr="5BD2FCF6">
        <w:rPr>
          <w:vertAlign w:val="superscript"/>
        </w:rPr>
        <w:t>st</w:t>
      </w:r>
      <w:r w:rsidR="002439D2">
        <w:t xml:space="preserve"> September 202</w:t>
      </w:r>
      <w:r w:rsidR="22334015">
        <w:t>5</w:t>
      </w:r>
      <w:r w:rsidR="002439D2">
        <w:t>.</w:t>
      </w:r>
    </w:p>
    <w:p w14:paraId="748C7666" w14:textId="70A32108" w:rsidR="1657245B" w:rsidRDefault="1657245B" w:rsidP="1657245B">
      <w:pPr>
        <w:rPr>
          <w:b/>
          <w:bCs/>
        </w:rPr>
      </w:pPr>
    </w:p>
    <w:p w14:paraId="44102B90" w14:textId="77777777" w:rsidR="00AD2131" w:rsidRDefault="00AD2131" w:rsidP="1657245B">
      <w:pPr>
        <w:rPr>
          <w:b/>
          <w:bCs/>
        </w:rPr>
      </w:pPr>
    </w:p>
    <w:p w14:paraId="06E3B3A8" w14:textId="77777777" w:rsidR="00AD2131" w:rsidRDefault="00AD2131" w:rsidP="1657245B">
      <w:pPr>
        <w:rPr>
          <w:b/>
          <w:bCs/>
        </w:rPr>
      </w:pPr>
    </w:p>
    <w:p w14:paraId="27CC3B01" w14:textId="77777777" w:rsidR="00AD2131" w:rsidRDefault="00AD2131" w:rsidP="1657245B">
      <w:pPr>
        <w:rPr>
          <w:b/>
          <w:bCs/>
        </w:rPr>
      </w:pPr>
    </w:p>
    <w:p w14:paraId="73039380" w14:textId="756CD55D" w:rsidR="0096515F" w:rsidRPr="0047080B" w:rsidRDefault="00962E64" w:rsidP="5A7B3B2C">
      <w:pPr>
        <w:rPr>
          <w:b/>
          <w:bCs/>
          <w:sz w:val="36"/>
          <w:szCs w:val="36"/>
        </w:rPr>
      </w:pPr>
      <w:r>
        <w:rPr>
          <w:b/>
          <w:bCs/>
          <w:sz w:val="36"/>
          <w:szCs w:val="36"/>
        </w:rPr>
        <w:t>6</w:t>
      </w:r>
      <w:r w:rsidR="0096515F">
        <w:tab/>
      </w:r>
      <w:r w:rsidR="353D0B6A" w:rsidRPr="5A7B3B2C">
        <w:rPr>
          <w:b/>
          <w:bCs/>
          <w:sz w:val="36"/>
          <w:szCs w:val="36"/>
        </w:rPr>
        <w:t>Basic Pay Determination on Appointment</w:t>
      </w:r>
    </w:p>
    <w:p w14:paraId="1C8AECE8" w14:textId="77777777" w:rsidR="0096515F" w:rsidRPr="0047080B" w:rsidRDefault="0096515F" w:rsidP="5A7B3B2C">
      <w:pPr>
        <w:rPr>
          <w:b/>
          <w:bCs/>
        </w:rPr>
      </w:pPr>
    </w:p>
    <w:p w14:paraId="6BC9F992" w14:textId="49550626" w:rsidR="0096515F" w:rsidRPr="0047080B" w:rsidRDefault="003550F4" w:rsidP="5A7B3B2C">
      <w:pPr>
        <w:ind w:left="720" w:hanging="720"/>
      </w:pPr>
      <w:r>
        <w:lastRenderedPageBreak/>
        <w:t>6</w:t>
      </w:r>
      <w:r w:rsidR="353D0B6A">
        <w:t>.1</w:t>
      </w:r>
      <w:r w:rsidR="0096515F">
        <w:tab/>
      </w:r>
      <w:r w:rsidR="353D0B6A">
        <w:t>The Governing Board will determine the pay range for a vacancy prior to the post being advertised.  The starting salary will therefore be by negotiation following consideration of previous experience.</w:t>
      </w:r>
    </w:p>
    <w:p w14:paraId="7DBD824E" w14:textId="77777777" w:rsidR="0096515F" w:rsidRPr="0047080B" w:rsidRDefault="0096515F" w:rsidP="5A7B3B2C">
      <w:pPr>
        <w:ind w:left="720" w:hanging="720"/>
      </w:pPr>
    </w:p>
    <w:p w14:paraId="17C4B31F" w14:textId="41D84753" w:rsidR="0096515F" w:rsidRPr="0047080B" w:rsidRDefault="003550F4" w:rsidP="5A7B3B2C">
      <w:pPr>
        <w:ind w:left="720" w:hanging="720"/>
      </w:pPr>
      <w:r>
        <w:t>6</w:t>
      </w:r>
      <w:r w:rsidR="353D0B6A">
        <w:t>.2</w:t>
      </w:r>
      <w:r w:rsidR="0096515F">
        <w:tab/>
      </w:r>
      <w:r w:rsidR="353D0B6A">
        <w:t xml:space="preserve">In making such determinations, the Governing Board will </w:t>
      </w:r>
      <w:proofErr w:type="gramStart"/>
      <w:r w:rsidR="353D0B6A">
        <w:t>take into account</w:t>
      </w:r>
      <w:proofErr w:type="gramEnd"/>
      <w:r w:rsidR="353D0B6A">
        <w:t xml:space="preserve"> a range of factors </w:t>
      </w:r>
      <w:proofErr w:type="gramStart"/>
      <w:r w:rsidR="353D0B6A">
        <w:t>including;</w:t>
      </w:r>
      <w:proofErr w:type="gramEnd"/>
    </w:p>
    <w:p w14:paraId="45ABE778" w14:textId="77777777" w:rsidR="0096515F" w:rsidRPr="0047080B" w:rsidRDefault="353D0B6A" w:rsidP="00D13A0A">
      <w:pPr>
        <w:numPr>
          <w:ilvl w:val="0"/>
          <w:numId w:val="13"/>
        </w:numPr>
        <w:ind w:left="1418" w:hanging="447"/>
      </w:pPr>
      <w:r>
        <w:t xml:space="preserve">the requirements and nature of the </w:t>
      </w:r>
      <w:proofErr w:type="gramStart"/>
      <w:r>
        <w:t>post;</w:t>
      </w:r>
      <w:proofErr w:type="gramEnd"/>
    </w:p>
    <w:p w14:paraId="1D54ECB6" w14:textId="77777777" w:rsidR="0096515F" w:rsidRPr="0047080B" w:rsidRDefault="353D0B6A" w:rsidP="00D13A0A">
      <w:pPr>
        <w:numPr>
          <w:ilvl w:val="0"/>
          <w:numId w:val="13"/>
        </w:numPr>
        <w:ind w:left="1418" w:hanging="447"/>
      </w:pPr>
      <w:r>
        <w:t xml:space="preserve">the level of qualifications, skills, experience and specialist knowledge </w:t>
      </w:r>
      <w:proofErr w:type="gramStart"/>
      <w:r>
        <w:t>required;</w:t>
      </w:r>
      <w:proofErr w:type="gramEnd"/>
    </w:p>
    <w:p w14:paraId="72642E34" w14:textId="77777777" w:rsidR="0096515F" w:rsidRPr="0047080B" w:rsidRDefault="353D0B6A" w:rsidP="00D13A0A">
      <w:pPr>
        <w:numPr>
          <w:ilvl w:val="0"/>
          <w:numId w:val="13"/>
        </w:numPr>
        <w:ind w:left="1418" w:hanging="447"/>
      </w:pPr>
      <w:r>
        <w:t xml:space="preserve">market </w:t>
      </w:r>
      <w:proofErr w:type="gramStart"/>
      <w:r>
        <w:t>conditions;</w:t>
      </w:r>
      <w:proofErr w:type="gramEnd"/>
    </w:p>
    <w:p w14:paraId="326F4B93" w14:textId="77777777" w:rsidR="0096515F" w:rsidRPr="0047080B" w:rsidRDefault="353D0B6A" w:rsidP="00D13A0A">
      <w:pPr>
        <w:numPr>
          <w:ilvl w:val="0"/>
          <w:numId w:val="13"/>
        </w:numPr>
        <w:ind w:left="1418" w:hanging="447"/>
      </w:pPr>
      <w:r>
        <w:t>the wider school context.</w:t>
      </w:r>
    </w:p>
    <w:p w14:paraId="555AD496" w14:textId="77777777" w:rsidR="0096515F" w:rsidRPr="0047080B" w:rsidRDefault="0096515F" w:rsidP="5A7B3B2C">
      <w:pPr>
        <w:ind w:left="1440"/>
      </w:pPr>
    </w:p>
    <w:p w14:paraId="47DBA65D" w14:textId="61433109" w:rsidR="0096515F" w:rsidRPr="0047080B" w:rsidRDefault="003550F4" w:rsidP="5A7B3B2C">
      <w:pPr>
        <w:ind w:left="720" w:hanging="720"/>
      </w:pPr>
      <w:r>
        <w:t>6</w:t>
      </w:r>
      <w:r w:rsidR="353D0B6A">
        <w:t>.3</w:t>
      </w:r>
      <w:r w:rsidR="0096515F">
        <w:tab/>
      </w:r>
      <w:r w:rsidR="353D0B6A">
        <w:t>The Governing Board may also use its discretion to award a recruitment incentive to secure the candidate of its choice, in line with the STPCD.</w:t>
      </w:r>
    </w:p>
    <w:p w14:paraId="62D45C62" w14:textId="77777777" w:rsidR="0096515F" w:rsidRPr="0047080B" w:rsidRDefault="0096515F" w:rsidP="004173E7"/>
    <w:p w14:paraId="3C42E848" w14:textId="6DAB55D3" w:rsidR="5A7B3B2C" w:rsidRDefault="003550F4" w:rsidP="00C14830">
      <w:pPr>
        <w:ind w:left="720" w:hanging="720"/>
        <w:rPr>
          <w:b/>
          <w:bCs/>
          <w:sz w:val="22"/>
          <w:szCs w:val="22"/>
        </w:rPr>
      </w:pPr>
      <w:r>
        <w:t>6</w:t>
      </w:r>
      <w:r w:rsidR="353D0B6A">
        <w:t>.4</w:t>
      </w:r>
      <w:r w:rsidR="0096515F">
        <w:tab/>
      </w:r>
      <w:r w:rsidR="353D0B6A">
        <w:t xml:space="preserve">There is no assumption that a teacher will be paid at the same rate as they were being paid in a previous school although in practice this may be the norm </w:t>
      </w:r>
      <w:proofErr w:type="gramStart"/>
      <w:r w:rsidR="353D0B6A">
        <w:t>in order to</w:t>
      </w:r>
      <w:proofErr w:type="gramEnd"/>
      <w:r w:rsidR="353D0B6A">
        <w:t xml:space="preserve"> recruit able staff.</w:t>
      </w:r>
    </w:p>
    <w:p w14:paraId="468BB6E4" w14:textId="77777777" w:rsidR="00C14830" w:rsidRPr="005B392A" w:rsidRDefault="00C14830" w:rsidP="5A7B3B2C">
      <w:pPr>
        <w:rPr>
          <w:b/>
          <w:bCs/>
          <w:szCs w:val="24"/>
        </w:rPr>
      </w:pPr>
    </w:p>
    <w:p w14:paraId="7B0DE19E" w14:textId="12656A2A" w:rsidR="0047080B" w:rsidRPr="00CA34CA" w:rsidRDefault="00CF25D5" w:rsidP="5A7B3B2C">
      <w:pPr>
        <w:rPr>
          <w:b/>
          <w:bCs/>
          <w:sz w:val="36"/>
          <w:szCs w:val="36"/>
        </w:rPr>
      </w:pPr>
      <w:bookmarkStart w:id="11" w:name="Pay_Review"/>
      <w:r>
        <w:rPr>
          <w:b/>
          <w:bCs/>
          <w:sz w:val="36"/>
          <w:szCs w:val="36"/>
        </w:rPr>
        <w:t>7</w:t>
      </w:r>
      <w:r w:rsidR="00F935F6">
        <w:tab/>
      </w:r>
      <w:r w:rsidR="0047080B" w:rsidRPr="00CA34CA">
        <w:rPr>
          <w:b/>
          <w:bCs/>
          <w:sz w:val="36"/>
          <w:szCs w:val="36"/>
        </w:rPr>
        <w:t>Pay Reviews</w:t>
      </w:r>
      <w:r w:rsidR="433975F6" w:rsidRPr="00CA34CA">
        <w:rPr>
          <w:b/>
          <w:bCs/>
          <w:sz w:val="36"/>
          <w:szCs w:val="36"/>
        </w:rPr>
        <w:t xml:space="preserve"> and Decision</w:t>
      </w:r>
      <w:r w:rsidR="003C63B9" w:rsidRPr="00CA34CA">
        <w:rPr>
          <w:b/>
          <w:bCs/>
          <w:sz w:val="36"/>
          <w:szCs w:val="36"/>
        </w:rPr>
        <w:t>s</w:t>
      </w:r>
    </w:p>
    <w:bookmarkEnd w:id="11"/>
    <w:p w14:paraId="51F3712B" w14:textId="74483B71" w:rsidR="5A7B3B2C" w:rsidRPr="00CA34CA" w:rsidRDefault="5A7B3B2C" w:rsidP="5A7B3B2C">
      <w:pPr>
        <w:rPr>
          <w:b/>
          <w:bCs/>
          <w:sz w:val="36"/>
          <w:szCs w:val="36"/>
        </w:rPr>
      </w:pPr>
    </w:p>
    <w:p w14:paraId="2E801806" w14:textId="06BC17D1" w:rsidR="0048035A" w:rsidRDefault="00CF25D5" w:rsidP="00E8642F">
      <w:pPr>
        <w:ind w:left="720" w:hanging="720"/>
        <w:rPr>
          <w:szCs w:val="24"/>
        </w:rPr>
      </w:pPr>
      <w:r w:rsidRPr="00CA34CA">
        <w:rPr>
          <w:szCs w:val="24"/>
        </w:rPr>
        <w:t>7</w:t>
      </w:r>
      <w:r w:rsidR="006B2F73" w:rsidRPr="00CA34CA">
        <w:rPr>
          <w:szCs w:val="24"/>
        </w:rPr>
        <w:t>.1</w:t>
      </w:r>
      <w:r w:rsidR="006B2F73" w:rsidRPr="00CA34CA">
        <w:rPr>
          <w:szCs w:val="24"/>
        </w:rPr>
        <w:tab/>
      </w:r>
      <w:r w:rsidR="6FB8F80F" w:rsidRPr="00CA34CA">
        <w:rPr>
          <w:szCs w:val="24"/>
        </w:rPr>
        <w:t>The school is obliged to make a pay decision following completion of the appraisal process.</w:t>
      </w:r>
      <w:r w:rsidR="33AA6BC3" w:rsidRPr="00CA34CA">
        <w:rPr>
          <w:szCs w:val="24"/>
        </w:rPr>
        <w:t xml:space="preserve"> </w:t>
      </w:r>
      <w:r w:rsidR="0048035A" w:rsidRPr="00CA34CA">
        <w:rPr>
          <w:bCs/>
          <w:szCs w:val="24"/>
          <w:lang w:eastAsia="en-GB"/>
        </w:rPr>
        <w:t>The</w:t>
      </w:r>
      <w:r w:rsidR="0048035A" w:rsidRPr="004173E7">
        <w:rPr>
          <w:bCs/>
          <w:szCs w:val="24"/>
          <w:lang w:eastAsia="en-GB"/>
        </w:rPr>
        <w:t xml:space="preserve"> </w:t>
      </w:r>
      <w:r w:rsidR="0048035A">
        <w:rPr>
          <w:bCs/>
          <w:szCs w:val="24"/>
          <w:lang w:eastAsia="en-GB"/>
        </w:rPr>
        <w:t>teacher</w:t>
      </w:r>
      <w:r w:rsidR="0048035A" w:rsidRPr="004173E7">
        <w:rPr>
          <w:bCs/>
          <w:szCs w:val="24"/>
          <w:lang w:eastAsia="en-GB"/>
        </w:rPr>
        <w:t xml:space="preserve"> should receive their written appraisal report with pay recommendation no later than 31</w:t>
      </w:r>
      <w:r w:rsidR="0048035A" w:rsidRPr="004173E7">
        <w:rPr>
          <w:bCs/>
          <w:szCs w:val="24"/>
          <w:vertAlign w:val="superscript"/>
          <w:lang w:eastAsia="en-GB"/>
        </w:rPr>
        <w:t>st</w:t>
      </w:r>
      <w:r w:rsidR="0048035A" w:rsidRPr="004173E7">
        <w:rPr>
          <w:bCs/>
          <w:szCs w:val="24"/>
          <w:lang w:eastAsia="en-GB"/>
        </w:rPr>
        <w:t xml:space="preserve"> October and at least 5 working days before a pay determination is made ensuring that any objections have been discussed and recorded before any pay determination is made.</w:t>
      </w:r>
    </w:p>
    <w:p w14:paraId="795BD0A9" w14:textId="77777777" w:rsidR="00E123FD" w:rsidRDefault="00E123FD" w:rsidP="00B52947">
      <w:pPr>
        <w:autoSpaceDE w:val="0"/>
        <w:autoSpaceDN w:val="0"/>
        <w:adjustRightInd w:val="0"/>
      </w:pPr>
    </w:p>
    <w:p w14:paraId="63413FCC" w14:textId="2B6E273C" w:rsidR="00FF34BA" w:rsidRDefault="00CF25D5" w:rsidP="00835B79">
      <w:pPr>
        <w:autoSpaceDE w:val="0"/>
        <w:autoSpaceDN w:val="0"/>
        <w:adjustRightInd w:val="0"/>
        <w:ind w:left="720" w:hanging="720"/>
      </w:pPr>
      <w:r>
        <w:t>7</w:t>
      </w:r>
      <w:r w:rsidR="00835B79">
        <w:t>.2</w:t>
      </w:r>
      <w:r>
        <w:tab/>
      </w:r>
      <w:r w:rsidR="00FF34BA">
        <w:t>In line with its terms of reference, the Governing Board will review every teacher’s salary annually, with effect from 1 September and this pay review</w:t>
      </w:r>
      <w:r w:rsidR="6A38BD0C">
        <w:t xml:space="preserve"> </w:t>
      </w:r>
      <w:r w:rsidR="00FF34BA">
        <w:t>will be completed by 30 November, except for the Headteacher, where the review will be completed by 31 December.  In exceptional circumstances the Governing Board may extend these timescales, for example due to</w:t>
      </w:r>
      <w:r w:rsidR="00FF34BA" w:rsidRPr="6BEBBADE">
        <w:rPr>
          <w:b/>
          <w:bCs/>
        </w:rPr>
        <w:t xml:space="preserve"> </w:t>
      </w:r>
      <w:r w:rsidR="00FF34BA">
        <w:t xml:space="preserve">maternity leave or other </w:t>
      </w:r>
      <w:proofErr w:type="gramStart"/>
      <w:r w:rsidR="00FF34BA">
        <w:t>long term</w:t>
      </w:r>
      <w:proofErr w:type="gramEnd"/>
      <w:r w:rsidR="00FF34BA">
        <w:t xml:space="preserve"> absence.</w:t>
      </w:r>
    </w:p>
    <w:p w14:paraId="75445888" w14:textId="77777777" w:rsidR="000E00A4" w:rsidRDefault="000E00A4" w:rsidP="00FF34BA">
      <w:pPr>
        <w:autoSpaceDE w:val="0"/>
        <w:autoSpaceDN w:val="0"/>
        <w:adjustRightInd w:val="0"/>
        <w:ind w:left="720" w:hanging="720"/>
        <w:rPr>
          <w:szCs w:val="24"/>
        </w:rPr>
      </w:pPr>
    </w:p>
    <w:p w14:paraId="42BC80FF" w14:textId="33CBEB55" w:rsidR="000E00A4" w:rsidRPr="0016093A" w:rsidRDefault="00CF25D5" w:rsidP="005B392A">
      <w:pPr>
        <w:autoSpaceDE w:val="0"/>
        <w:autoSpaceDN w:val="0"/>
        <w:adjustRightInd w:val="0"/>
        <w:ind w:left="720" w:hanging="720"/>
        <w:rPr>
          <w:b/>
          <w:bCs/>
          <w:lang w:eastAsia="en-GB"/>
        </w:rPr>
      </w:pPr>
      <w:r>
        <w:rPr>
          <w:szCs w:val="24"/>
        </w:rPr>
        <w:t>7</w:t>
      </w:r>
      <w:r w:rsidR="00835B79">
        <w:rPr>
          <w:szCs w:val="24"/>
        </w:rPr>
        <w:t>.3</w:t>
      </w:r>
      <w:r w:rsidR="00835B79">
        <w:rPr>
          <w:szCs w:val="24"/>
        </w:rPr>
        <w:tab/>
      </w:r>
      <w:r w:rsidR="000E00A4">
        <w:rPr>
          <w:szCs w:val="24"/>
        </w:rPr>
        <w:t>Please note</w:t>
      </w:r>
      <w:r w:rsidR="00715104">
        <w:rPr>
          <w:szCs w:val="24"/>
        </w:rPr>
        <w:t xml:space="preserve"> </w:t>
      </w:r>
      <w:r w:rsidR="00DF73F6">
        <w:rPr>
          <w:szCs w:val="24"/>
        </w:rPr>
        <w:t>th</w:t>
      </w:r>
      <w:r w:rsidR="00520C2A">
        <w:rPr>
          <w:szCs w:val="24"/>
        </w:rPr>
        <w:t xml:space="preserve">e requirement to review </w:t>
      </w:r>
      <w:r w:rsidR="009E5629">
        <w:rPr>
          <w:szCs w:val="24"/>
        </w:rPr>
        <w:t>pay</w:t>
      </w:r>
      <w:r w:rsidR="00DF73F6">
        <w:rPr>
          <w:szCs w:val="24"/>
        </w:rPr>
        <w:t xml:space="preserve"> applies to employee</w:t>
      </w:r>
      <w:r w:rsidR="00E123FD">
        <w:rPr>
          <w:szCs w:val="24"/>
        </w:rPr>
        <w:t>s</w:t>
      </w:r>
      <w:r w:rsidR="00DF73F6">
        <w:rPr>
          <w:szCs w:val="24"/>
        </w:rPr>
        <w:t xml:space="preserve"> who have completed a</w:t>
      </w:r>
      <w:r w:rsidR="00DE2FF8">
        <w:rPr>
          <w:szCs w:val="24"/>
        </w:rPr>
        <w:t xml:space="preserve">t least a year </w:t>
      </w:r>
      <w:r w:rsidR="00DE2FF8">
        <w:t>o</w:t>
      </w:r>
      <w:r w:rsidR="00E123FD">
        <w:t>f</w:t>
      </w:r>
      <w:r w:rsidR="00DE2FF8">
        <w:t xml:space="preserve"> employment (twenty-six weeks employment, in aggregate, within the previous school year) since the previous pay determination. For those who have not completed at least twenty-six weeks employment, in aggregate, within the previous school year at the time the school are reviewing pay, their pay review period will be brought in line with dates set in this policy as soon as practically possible.</w:t>
      </w:r>
    </w:p>
    <w:p w14:paraId="7057F57A" w14:textId="77777777" w:rsidR="00FF34BA" w:rsidRPr="004173E7" w:rsidRDefault="00FF34BA" w:rsidP="00FF34BA">
      <w:pPr>
        <w:ind w:left="720"/>
        <w:rPr>
          <w:szCs w:val="24"/>
        </w:rPr>
      </w:pPr>
    </w:p>
    <w:p w14:paraId="7971439A" w14:textId="58302B22" w:rsidR="00FF34BA" w:rsidRPr="004173E7" w:rsidRDefault="00CF25D5" w:rsidP="00FF34BA">
      <w:pPr>
        <w:ind w:left="720" w:hanging="720"/>
        <w:rPr>
          <w:rFonts w:ascii="Calibri" w:hAnsi="Calibri" w:cs="Times New Roman"/>
          <w:sz w:val="22"/>
          <w:szCs w:val="22"/>
        </w:rPr>
      </w:pPr>
      <w:r>
        <w:rPr>
          <w:szCs w:val="24"/>
        </w:rPr>
        <w:t>7</w:t>
      </w:r>
      <w:r w:rsidR="00FF34BA">
        <w:rPr>
          <w:szCs w:val="24"/>
        </w:rPr>
        <w:t>.4</w:t>
      </w:r>
      <w:r w:rsidR="00FF34BA">
        <w:rPr>
          <w:szCs w:val="24"/>
        </w:rPr>
        <w:tab/>
      </w:r>
      <w:r w:rsidR="00FF34BA" w:rsidRPr="004173E7">
        <w:rPr>
          <w:szCs w:val="24"/>
        </w:rPr>
        <w:t>The Governing Board may review a teacher’s salary at other times of the year to reflect any changes in circumstances or job description that lead to a change in the basis for calculating an individual teacher’s pay</w:t>
      </w:r>
      <w:r w:rsidR="00FF34BA" w:rsidRPr="004173E7">
        <w:rPr>
          <w:rFonts w:ascii="Calibri" w:hAnsi="Calibri" w:cs="Times New Roman"/>
          <w:sz w:val="22"/>
          <w:szCs w:val="22"/>
        </w:rPr>
        <w:t>.</w:t>
      </w:r>
    </w:p>
    <w:p w14:paraId="3BE5FC2D" w14:textId="77777777" w:rsidR="00FF34BA" w:rsidRPr="00820EF1" w:rsidRDefault="00FF34BA" w:rsidP="00091AA4">
      <w:pPr>
        <w:rPr>
          <w:szCs w:val="24"/>
        </w:rPr>
      </w:pPr>
    </w:p>
    <w:p w14:paraId="3015B5C2" w14:textId="2BED072E" w:rsidR="00091AA4" w:rsidRPr="00CA34CA" w:rsidRDefault="7732210A" w:rsidP="3B329205">
      <w:pPr>
        <w:ind w:left="720" w:hanging="720"/>
        <w:rPr>
          <w:rFonts w:eastAsia="Arial"/>
          <w:color w:val="000000" w:themeColor="text1"/>
          <w:szCs w:val="24"/>
          <w:highlight w:val="green"/>
        </w:rPr>
      </w:pPr>
      <w:r>
        <w:t>7</w:t>
      </w:r>
      <w:r w:rsidR="353C099B">
        <w:t>.</w:t>
      </w:r>
      <w:r w:rsidR="7070639D">
        <w:t>5</w:t>
      </w:r>
      <w:r>
        <w:tab/>
      </w:r>
      <w:r w:rsidR="353C099B">
        <w:t>Following an individual teacher’s annual appraisal</w:t>
      </w:r>
      <w:r w:rsidR="77E78CBD">
        <w:t>,</w:t>
      </w:r>
      <w:r w:rsidR="353C099B">
        <w:t xml:space="preserve"> teachers </w:t>
      </w:r>
      <w:r w:rsidR="53F66D36">
        <w:t>(other than those on the upper pay range</w:t>
      </w:r>
      <w:r w:rsidR="48F53CFB">
        <w:t xml:space="preserve"> where</w:t>
      </w:r>
      <w:r w:rsidR="3914225A">
        <w:t xml:space="preserve"> progression is every two years</w:t>
      </w:r>
      <w:r w:rsidR="0682A78B">
        <w:t xml:space="preserve">) </w:t>
      </w:r>
      <w:r w:rsidR="353C099B">
        <w:t>should expect to receive pay progression within the maximum of their pay range unless</w:t>
      </w:r>
      <w:r w:rsidR="715C25F3">
        <w:t xml:space="preserve">, at </w:t>
      </w:r>
      <w:r w:rsidR="715C25F3">
        <w:lastRenderedPageBreak/>
        <w:t>the point when the review takes place,</w:t>
      </w:r>
      <w:r w:rsidR="353C099B" w:rsidRPr="3B329205">
        <w:rPr>
          <w:color w:val="FF0000"/>
        </w:rPr>
        <w:t xml:space="preserve"> </w:t>
      </w:r>
      <w:r w:rsidR="353C099B">
        <w:t>the teacher is subject to capability procedures.</w:t>
      </w:r>
      <w:r w:rsidR="753134E6">
        <w:t xml:space="preserve"> </w:t>
      </w:r>
      <w:r w:rsidR="78131968">
        <w:t>Being subject to capability procedures means the teacher must have received in writing</w:t>
      </w:r>
      <w:r w:rsidR="176D7078">
        <w:t>,</w:t>
      </w:r>
      <w:r w:rsidR="78131968">
        <w:t xml:space="preserve"> confirmation that they have transitioned from th</w:t>
      </w:r>
      <w:r w:rsidR="47A40E15">
        <w:t xml:space="preserve">e appraisal process into the capability process </w:t>
      </w:r>
      <w:r w:rsidR="6631CFCC">
        <w:t>so</w:t>
      </w:r>
      <w:r w:rsidR="47A40E15">
        <w:t xml:space="preserve"> their per</w:t>
      </w:r>
      <w:r w:rsidR="0ADF7E49">
        <w:t>fo</w:t>
      </w:r>
      <w:r w:rsidR="275A1EF9">
        <w:t>r</w:t>
      </w:r>
      <w:r w:rsidR="47A40E15">
        <w:t>mance will be reviewed in line with the capability procedure.</w:t>
      </w:r>
      <w:r w:rsidR="47296D97" w:rsidRPr="3B329205">
        <w:rPr>
          <w:rFonts w:eastAsia="Arial"/>
          <w:color w:val="000000" w:themeColor="text1"/>
          <w:szCs w:val="24"/>
        </w:rPr>
        <w:t xml:space="preserve"> Any Teacher not eligible for pay progression because they are in capability procedures would be eligible to be considered for pay progression</w:t>
      </w:r>
      <w:r w:rsidR="6B97C5C9" w:rsidRPr="3B329205">
        <w:rPr>
          <w:rFonts w:eastAsia="Arial"/>
          <w:color w:val="000000" w:themeColor="text1"/>
          <w:szCs w:val="24"/>
        </w:rPr>
        <w:t xml:space="preserve"> </w:t>
      </w:r>
      <w:r w:rsidR="47296D97" w:rsidRPr="3B329205">
        <w:rPr>
          <w:rFonts w:eastAsia="Arial"/>
          <w:color w:val="000000" w:themeColor="text1"/>
          <w:szCs w:val="24"/>
        </w:rPr>
        <w:t>at the next round of annual pay reviews</w:t>
      </w:r>
      <w:r w:rsidR="576FE09A" w:rsidRPr="3B329205">
        <w:rPr>
          <w:rFonts w:eastAsia="Arial"/>
          <w:color w:val="000000" w:themeColor="text1"/>
          <w:szCs w:val="24"/>
        </w:rPr>
        <w:t xml:space="preserve"> once they are back into the normal appraisal process</w:t>
      </w:r>
      <w:r w:rsidR="47296D97" w:rsidRPr="3B329205">
        <w:rPr>
          <w:rFonts w:eastAsia="Arial"/>
          <w:color w:val="000000" w:themeColor="text1"/>
          <w:szCs w:val="24"/>
        </w:rPr>
        <w:t>.</w:t>
      </w:r>
    </w:p>
    <w:p w14:paraId="0BA74583" w14:textId="77777777" w:rsidR="00091AA4" w:rsidRPr="00CA34CA" w:rsidRDefault="00091AA4" w:rsidP="0041507B">
      <w:pPr>
        <w:rPr>
          <w:szCs w:val="24"/>
        </w:rPr>
      </w:pPr>
    </w:p>
    <w:p w14:paraId="656F827C" w14:textId="2C8723C1" w:rsidR="00EF1450" w:rsidRPr="00CA34CA" w:rsidRDefault="00CF25D5" w:rsidP="00CF25D5">
      <w:pPr>
        <w:ind w:left="720" w:hanging="720"/>
        <w:rPr>
          <w:bCs/>
          <w:szCs w:val="24"/>
          <w:lang w:eastAsia="en-GB"/>
        </w:rPr>
      </w:pPr>
      <w:r w:rsidRPr="00CA34CA">
        <w:rPr>
          <w:szCs w:val="24"/>
        </w:rPr>
        <w:t>7</w:t>
      </w:r>
      <w:r w:rsidR="00185B6A" w:rsidRPr="00CA34CA">
        <w:rPr>
          <w:szCs w:val="24"/>
        </w:rPr>
        <w:t>.</w:t>
      </w:r>
      <w:r w:rsidR="00835B79" w:rsidRPr="00CA34CA">
        <w:rPr>
          <w:szCs w:val="24"/>
        </w:rPr>
        <w:t>6</w:t>
      </w:r>
      <w:r w:rsidR="00185B6A" w:rsidRPr="00CA34CA">
        <w:rPr>
          <w:szCs w:val="24"/>
        </w:rPr>
        <w:tab/>
        <w:t xml:space="preserve">Where a teacher is away from school because of maternity leave, it is unlawful to deny that teacher an appraisal and pay progression because of maternity. </w:t>
      </w:r>
      <w:r w:rsidR="00091AA4" w:rsidRPr="00CA34CA">
        <w:rPr>
          <w:szCs w:val="24"/>
        </w:rPr>
        <w:t>Any teacher on</w:t>
      </w:r>
      <w:r w:rsidR="00185B6A" w:rsidRPr="00CA34CA">
        <w:rPr>
          <w:szCs w:val="24"/>
        </w:rPr>
        <w:t xml:space="preserve"> maternity leave</w:t>
      </w:r>
      <w:r w:rsidR="008F494B" w:rsidRPr="00CA34CA">
        <w:rPr>
          <w:szCs w:val="24"/>
        </w:rPr>
        <w:t xml:space="preserve"> </w:t>
      </w:r>
      <w:r w:rsidR="00185B6A" w:rsidRPr="00CA34CA">
        <w:rPr>
          <w:szCs w:val="24"/>
        </w:rPr>
        <w:t>will be given any pay increase that they would have received, had they not been on maternity leave.</w:t>
      </w:r>
    </w:p>
    <w:p w14:paraId="3D4EFF68" w14:textId="77777777" w:rsidR="009200AA" w:rsidRPr="00CA34CA" w:rsidRDefault="009200AA" w:rsidP="00424AEB"/>
    <w:p w14:paraId="13658578" w14:textId="3CB35EC6" w:rsidR="009200AA" w:rsidRPr="00CA34CA" w:rsidRDefault="00CF25D5" w:rsidP="009E73B4">
      <w:pPr>
        <w:ind w:left="720" w:hanging="720"/>
      </w:pPr>
      <w:r>
        <w:t>7</w:t>
      </w:r>
      <w:r w:rsidR="009200AA">
        <w:t>.</w:t>
      </w:r>
      <w:r w:rsidR="00424AEB">
        <w:t>7</w:t>
      </w:r>
      <w:r>
        <w:tab/>
      </w:r>
      <w:r w:rsidR="00FA6EC8">
        <w:t xml:space="preserve">When </w:t>
      </w:r>
      <w:r w:rsidR="005D28EA">
        <w:t xml:space="preserve">looking at annual </w:t>
      </w:r>
      <w:r w:rsidR="009E73B4">
        <w:t xml:space="preserve">pay </w:t>
      </w:r>
      <w:r w:rsidR="005D28EA">
        <w:t xml:space="preserve">progression it is expected that the Governing Board will agree </w:t>
      </w:r>
      <w:r w:rsidR="003839FF">
        <w:t xml:space="preserve">an increase of </w:t>
      </w:r>
      <w:r w:rsidR="00C07DB3">
        <w:t xml:space="preserve">one point within the range </w:t>
      </w:r>
      <w:r w:rsidR="08FD1053">
        <w:t>(</w:t>
      </w:r>
      <w:r w:rsidR="00C07DB3">
        <w:t xml:space="preserve">unless the </w:t>
      </w:r>
      <w:r w:rsidR="003839FF">
        <w:t>employee</w:t>
      </w:r>
      <w:r w:rsidR="00C07DB3">
        <w:t xml:space="preserve"> is subject to capability procedures</w:t>
      </w:r>
      <w:r w:rsidR="2BAC6C93">
        <w:t>)</w:t>
      </w:r>
      <w:r w:rsidR="00C07DB3">
        <w:t>. However</w:t>
      </w:r>
      <w:r w:rsidR="003839FF">
        <w:t>,</w:t>
      </w:r>
      <w:r w:rsidR="00C07DB3">
        <w:t xml:space="preserve"> where there is evidence of exceptional performance </w:t>
      </w:r>
      <w:r w:rsidR="00FA6EC8">
        <w:t>the Governing Board may consider the use of its flexibilities to pay enhanced pay progression up to the maximum of two additional points.</w:t>
      </w:r>
      <w:r w:rsidR="00F546BC">
        <w:t xml:space="preserve"> This is applicable to all pay ranges. </w:t>
      </w:r>
    </w:p>
    <w:p w14:paraId="275E1C96" w14:textId="7A93CE0E" w:rsidR="0EEEFAA6" w:rsidRDefault="0EEEFAA6" w:rsidP="5BD2FCF6">
      <w:pPr>
        <w:ind w:left="720" w:hanging="720"/>
      </w:pPr>
    </w:p>
    <w:p w14:paraId="5D0FC8B2" w14:textId="42CAD90C" w:rsidR="2ED8D87F" w:rsidRDefault="786F5CF7" w:rsidP="5BD2FCF6">
      <w:pPr>
        <w:ind w:left="720" w:hanging="720"/>
        <w:rPr>
          <w:rFonts w:eastAsia="Arial"/>
        </w:rPr>
      </w:pPr>
      <w:bookmarkStart w:id="12" w:name="Bookmark2"/>
      <w:r w:rsidRPr="5BD2FCF6">
        <w:rPr>
          <w:rFonts w:eastAsia="Arial"/>
        </w:rPr>
        <w:t>7</w:t>
      </w:r>
      <w:bookmarkEnd w:id="12"/>
      <w:r w:rsidRPr="5BD2FCF6">
        <w:rPr>
          <w:rFonts w:eastAsia="Arial"/>
        </w:rPr>
        <w:t>.8</w:t>
      </w:r>
      <w:r>
        <w:tab/>
      </w:r>
      <w:r w:rsidRPr="5BD2FCF6">
        <w:rPr>
          <w:rFonts w:eastAsia="Arial"/>
        </w:rPr>
        <w:t>Exceptional performance is defined as</w:t>
      </w:r>
      <w:r w:rsidR="6C1827A9" w:rsidRPr="5BD2FCF6">
        <w:rPr>
          <w:rFonts w:eastAsia="Arial"/>
        </w:rPr>
        <w:t>:</w:t>
      </w:r>
    </w:p>
    <w:p w14:paraId="676B3844" w14:textId="5CC38026" w:rsidR="65105772" w:rsidRDefault="65105772" w:rsidP="5BD2FCF6">
      <w:pPr>
        <w:ind w:left="720"/>
        <w:rPr>
          <w:rFonts w:eastAsia="Arial"/>
          <w:lang w:val="en-US"/>
        </w:rPr>
      </w:pPr>
      <w:r w:rsidRPr="5BD2FCF6">
        <w:rPr>
          <w:rFonts w:eastAsia="Arial"/>
          <w:lang w:val="en-US"/>
        </w:rPr>
        <w:t xml:space="preserve">Performance which goes beyond expectations and creates noticeable value or transformation. </w:t>
      </w:r>
      <w:r w:rsidR="5FE5269C" w:rsidRPr="5BD2FCF6">
        <w:rPr>
          <w:rFonts w:eastAsia="Arial"/>
          <w:lang w:val="en-US"/>
        </w:rPr>
        <w:t xml:space="preserve">The </w:t>
      </w:r>
      <w:proofErr w:type="gramStart"/>
      <w:r w:rsidR="5FE5269C" w:rsidRPr="5BD2FCF6">
        <w:rPr>
          <w:rFonts w:eastAsia="Arial"/>
          <w:lang w:val="en-US"/>
        </w:rPr>
        <w:t>teacher</w:t>
      </w:r>
      <w:r w:rsidR="225534D9" w:rsidRPr="5BD2FCF6">
        <w:rPr>
          <w:rFonts w:eastAsia="Arial"/>
          <w:lang w:val="en-US"/>
        </w:rPr>
        <w:t>;</w:t>
      </w:r>
      <w:proofErr w:type="gramEnd"/>
    </w:p>
    <w:p w14:paraId="0661BCA9" w14:textId="5BC11920" w:rsidR="65105772" w:rsidRDefault="65105772" w:rsidP="00AD2131">
      <w:pPr>
        <w:pStyle w:val="ListParagraph"/>
        <w:numPr>
          <w:ilvl w:val="0"/>
          <w:numId w:val="1"/>
        </w:numPr>
        <w:ind w:left="1418" w:hanging="425"/>
        <w:rPr>
          <w:rFonts w:ascii="Arial" w:eastAsia="Arial" w:hAnsi="Arial" w:cs="Arial"/>
        </w:rPr>
      </w:pPr>
      <w:proofErr w:type="gramStart"/>
      <w:r w:rsidRPr="5BD2FCF6">
        <w:rPr>
          <w:rFonts w:ascii="Arial" w:eastAsia="Arial" w:hAnsi="Arial" w:cs="Arial"/>
        </w:rPr>
        <w:t>Exceeds</w:t>
      </w:r>
      <w:proofErr w:type="gramEnd"/>
      <w:r w:rsidRPr="5BD2FCF6">
        <w:rPr>
          <w:rFonts w:ascii="Arial" w:eastAsia="Arial" w:hAnsi="Arial" w:cs="Arial"/>
        </w:rPr>
        <w:t xml:space="preserve"> expectations regularly, often delivering more than asked.</w:t>
      </w:r>
    </w:p>
    <w:p w14:paraId="08A09479" w14:textId="7A008FB5" w:rsidR="65105772" w:rsidRDefault="65105772" w:rsidP="00AD2131">
      <w:pPr>
        <w:pStyle w:val="ListParagraph"/>
        <w:numPr>
          <w:ilvl w:val="0"/>
          <w:numId w:val="1"/>
        </w:numPr>
        <w:ind w:left="1418" w:hanging="425"/>
        <w:rPr>
          <w:rFonts w:ascii="Arial" w:eastAsia="Arial" w:hAnsi="Arial" w:cs="Arial"/>
        </w:rPr>
      </w:pPr>
      <w:r w:rsidRPr="5BD2FCF6">
        <w:rPr>
          <w:rFonts w:ascii="Arial" w:eastAsia="Arial" w:hAnsi="Arial" w:cs="Arial"/>
        </w:rPr>
        <w:t xml:space="preserve">Innovates or improves processes, finding smarter, faster, or more effective ways to work. </w:t>
      </w:r>
    </w:p>
    <w:p w14:paraId="4FD2290B" w14:textId="494787F3" w:rsidR="65105772" w:rsidRDefault="65105772" w:rsidP="00AD2131">
      <w:pPr>
        <w:pStyle w:val="ListParagraph"/>
        <w:numPr>
          <w:ilvl w:val="0"/>
          <w:numId w:val="1"/>
        </w:numPr>
        <w:ind w:left="1418" w:hanging="425"/>
        <w:rPr>
          <w:rFonts w:ascii="Arial" w:eastAsia="Arial" w:hAnsi="Arial" w:cs="Arial"/>
        </w:rPr>
      </w:pPr>
      <w:r w:rsidRPr="5BD2FCF6">
        <w:rPr>
          <w:rFonts w:ascii="Arial" w:eastAsia="Arial" w:hAnsi="Arial" w:cs="Arial"/>
        </w:rPr>
        <w:t>Anticipates needs and solves problems proactively before they escalate.</w:t>
      </w:r>
    </w:p>
    <w:p w14:paraId="0F765872" w14:textId="445F1360" w:rsidR="65105772" w:rsidRDefault="65105772" w:rsidP="00AD2131">
      <w:pPr>
        <w:pStyle w:val="ListParagraph"/>
        <w:numPr>
          <w:ilvl w:val="0"/>
          <w:numId w:val="1"/>
        </w:numPr>
        <w:ind w:left="1418" w:hanging="425"/>
        <w:rPr>
          <w:rFonts w:ascii="Arial" w:eastAsia="Arial" w:hAnsi="Arial" w:cs="Arial"/>
        </w:rPr>
      </w:pPr>
      <w:r w:rsidRPr="5BD2FCF6">
        <w:rPr>
          <w:rFonts w:ascii="Arial" w:eastAsia="Arial" w:hAnsi="Arial" w:cs="Arial"/>
        </w:rPr>
        <w:t>Inspires others, often becoming a go-to person or informal leader</w:t>
      </w:r>
      <w:r w:rsidR="6C9573B5" w:rsidRPr="5BD2FCF6">
        <w:rPr>
          <w:rFonts w:ascii="Arial" w:eastAsia="Arial" w:hAnsi="Arial" w:cs="Arial"/>
        </w:rPr>
        <w:t>.</w:t>
      </w:r>
    </w:p>
    <w:p w14:paraId="55ECF6D2" w14:textId="0F71EFBE" w:rsidR="65105772" w:rsidRDefault="65105772" w:rsidP="00AD2131">
      <w:pPr>
        <w:pStyle w:val="ListParagraph"/>
        <w:numPr>
          <w:ilvl w:val="0"/>
          <w:numId w:val="1"/>
        </w:numPr>
        <w:ind w:left="1418" w:hanging="425"/>
        <w:rPr>
          <w:rFonts w:ascii="Arial" w:eastAsia="Arial" w:hAnsi="Arial" w:cs="Arial"/>
        </w:rPr>
      </w:pPr>
      <w:r w:rsidRPr="5BD2FCF6">
        <w:rPr>
          <w:rFonts w:ascii="Arial" w:eastAsia="Arial" w:hAnsi="Arial" w:cs="Arial"/>
        </w:rPr>
        <w:t>Demonstrates mastery, not</w:t>
      </w:r>
      <w:r w:rsidR="00CA3835" w:rsidRPr="5BD2FCF6">
        <w:rPr>
          <w:rFonts w:ascii="Arial" w:eastAsia="Arial" w:hAnsi="Arial" w:cs="Arial"/>
        </w:rPr>
        <w:t xml:space="preserve"> </w:t>
      </w:r>
      <w:r w:rsidRPr="5BD2FCF6">
        <w:rPr>
          <w:rFonts w:ascii="Arial" w:eastAsia="Arial" w:hAnsi="Arial" w:cs="Arial"/>
        </w:rPr>
        <w:t xml:space="preserve">just competence, in their domain. </w:t>
      </w:r>
    </w:p>
    <w:p w14:paraId="53B8E824" w14:textId="225B0998" w:rsidR="2ED8D87F" w:rsidRDefault="65105772" w:rsidP="00AD2131">
      <w:pPr>
        <w:pStyle w:val="ListParagraph"/>
        <w:numPr>
          <w:ilvl w:val="0"/>
          <w:numId w:val="1"/>
        </w:numPr>
        <w:ind w:left="1418" w:hanging="425"/>
        <w:rPr>
          <w:rFonts w:ascii="Arial" w:eastAsia="Arial" w:hAnsi="Arial" w:cs="Arial"/>
        </w:rPr>
      </w:pPr>
      <w:r w:rsidRPr="3B329205">
        <w:rPr>
          <w:rFonts w:ascii="Arial" w:eastAsia="Arial" w:hAnsi="Arial" w:cs="Arial"/>
        </w:rPr>
        <w:t>Drives impact, contributing to broader goals or influencing outcomes beyond their immediate role.</w:t>
      </w:r>
    </w:p>
    <w:p w14:paraId="0C5366CA" w14:textId="77777777" w:rsidR="00FA6EC8" w:rsidRPr="00CA34CA" w:rsidRDefault="00FA6EC8" w:rsidP="00185B6A">
      <w:pPr>
        <w:ind w:left="720" w:hanging="720"/>
      </w:pPr>
    </w:p>
    <w:p w14:paraId="63E84F81" w14:textId="38F73DEA" w:rsidR="00FA6EC8" w:rsidRPr="0047080B" w:rsidRDefault="7732210A" w:rsidP="0EEEFAA6">
      <w:pPr>
        <w:spacing w:line="259" w:lineRule="auto"/>
        <w:ind w:left="720" w:hanging="720"/>
        <w:rPr>
          <w:highlight w:val="green"/>
        </w:rPr>
      </w:pPr>
      <w:bookmarkStart w:id="13" w:name="Bookmark1"/>
      <w:r>
        <w:t>7</w:t>
      </w:r>
      <w:bookmarkEnd w:id="13"/>
      <w:r w:rsidR="4814D987">
        <w:t>.</w:t>
      </w:r>
      <w:r w:rsidR="42EDE3BD">
        <w:t>9</w:t>
      </w:r>
      <w:r>
        <w:tab/>
      </w:r>
      <w:r w:rsidR="2530A815">
        <w:t>Teachers on the upper pay range still have their pay reviewed annually</w:t>
      </w:r>
      <w:r w:rsidR="6DB48A16">
        <w:t xml:space="preserve"> however p</w:t>
      </w:r>
      <w:r w:rsidR="4457154B">
        <w:t xml:space="preserve">rogression within the upper pay range is different to other pay ranges in that </w:t>
      </w:r>
      <w:r w:rsidR="62DBE075">
        <w:t xml:space="preserve">pay </w:t>
      </w:r>
      <w:r w:rsidR="4457154B">
        <w:t>progression</w:t>
      </w:r>
      <w:r w:rsidR="0F2B9B09">
        <w:t xml:space="preserve"> within upper pay range</w:t>
      </w:r>
      <w:r w:rsidR="4457154B">
        <w:t xml:space="preserve"> is not yearly</w:t>
      </w:r>
      <w:r w:rsidR="0B26EE29">
        <w:t>. Therefore, headteachers</w:t>
      </w:r>
      <w:r w:rsidR="6A9F2EAD">
        <w:t xml:space="preserve"> will</w:t>
      </w:r>
      <w:r w:rsidR="2BD02F5E">
        <w:t xml:space="preserve"> </w:t>
      </w:r>
      <w:r w:rsidR="7C2A5BE5">
        <w:t xml:space="preserve">consider pay progression as and when </w:t>
      </w:r>
      <w:r w:rsidR="1B1F198F">
        <w:t>a</w:t>
      </w:r>
      <w:r w:rsidR="7C2A5BE5">
        <w:t xml:space="preserve"> teacher on the upper pay range becomes eligible</w:t>
      </w:r>
      <w:r w:rsidR="1F4AC2AF">
        <w:t xml:space="preserve">, </w:t>
      </w:r>
      <w:r w:rsidR="1F4AC2AF" w:rsidRPr="68F17569">
        <w:rPr>
          <w:b/>
          <w:bCs/>
        </w:rPr>
        <w:t>teachers should not be made to apply to be considered for progression</w:t>
      </w:r>
      <w:r w:rsidR="7C2A5BE5">
        <w:t xml:space="preserve">. Teachers on this pay range will be eligible </w:t>
      </w:r>
      <w:r w:rsidR="58BE8E8D">
        <w:t>for progression within the pay range</w:t>
      </w:r>
      <w:r w:rsidR="1B1F198F">
        <w:t>,</w:t>
      </w:r>
      <w:r w:rsidR="58BE8E8D">
        <w:t xml:space="preserve"> </w:t>
      </w:r>
      <w:r w:rsidR="1B1F198F">
        <w:t>every two years</w:t>
      </w:r>
      <w:r w:rsidR="58BE8E8D">
        <w:t xml:space="preserve"> as this is what is required to demonstrate sustained </w:t>
      </w:r>
      <w:r w:rsidR="5733AEA9">
        <w:t xml:space="preserve">achievements in line with the definition set out in paragraph </w:t>
      </w:r>
      <w:r w:rsidR="2B320C9D">
        <w:t>1</w:t>
      </w:r>
      <w:r w:rsidR="4F55B47A">
        <w:t>3</w:t>
      </w:r>
      <w:r w:rsidR="2B320C9D">
        <w:t>.6</w:t>
      </w:r>
      <w:r w:rsidR="5733AEA9">
        <w:t xml:space="preserve">. </w:t>
      </w:r>
      <w:r w:rsidR="603B9CC2">
        <w:t>It is therefore possible for a</w:t>
      </w:r>
      <w:r w:rsidR="790654A2">
        <w:t>n</w:t>
      </w:r>
      <w:r w:rsidR="603B9CC2">
        <w:t xml:space="preserve"> upper pay range teacher to not receive pay progression and not be in capability procedures if </w:t>
      </w:r>
      <w:r w:rsidR="33E1767C">
        <w:t>their pay review takes place</w:t>
      </w:r>
      <w:r w:rsidR="603B9CC2">
        <w:t xml:space="preserve"> in a year where they are not eligible for progression. </w:t>
      </w:r>
      <w:r w:rsidR="6EDD102B">
        <w:t>As with other pay ranges at the point they are elig</w:t>
      </w:r>
      <w:r w:rsidR="15030851">
        <w:t>i</w:t>
      </w:r>
      <w:r w:rsidR="6EDD102B">
        <w:t>ble to be considered for pay progression</w:t>
      </w:r>
      <w:r w:rsidR="1C93F3E6">
        <w:t>,</w:t>
      </w:r>
      <w:r w:rsidR="6EDD102B">
        <w:t xml:space="preserve"> the Governing Board can consider enhanced progression for exceptional performance as se</w:t>
      </w:r>
      <w:r w:rsidR="3141B1DD">
        <w:t>t out in paragraph 7.8.</w:t>
      </w:r>
    </w:p>
    <w:p w14:paraId="32BAC1BA" w14:textId="77777777" w:rsidR="00214EF6" w:rsidRDefault="00214EF6" w:rsidP="00214EF6"/>
    <w:p w14:paraId="1D59CABF" w14:textId="51D623E3" w:rsidR="00820EF1" w:rsidRPr="00820EF1" w:rsidRDefault="00CF25D5" w:rsidP="00820EF1">
      <w:pPr>
        <w:ind w:left="720" w:hanging="720"/>
      </w:pPr>
      <w:r>
        <w:t>7</w:t>
      </w:r>
      <w:r w:rsidR="00214EF6">
        <w:t>.</w:t>
      </w:r>
      <w:r w:rsidR="5B04A3CB">
        <w:t>10</w:t>
      </w:r>
      <w:r>
        <w:tab/>
      </w:r>
      <w:r w:rsidR="008879A6">
        <w:t>If a member of the leadership group reaches the top of their pay range, they will continue to be paid at the top of that range until such time as the Governing Board is able to reassess the pay range using the new method</w:t>
      </w:r>
      <w:r w:rsidR="00F56B7E">
        <w:t xml:space="preserve"> </w:t>
      </w:r>
      <w:r w:rsidR="008879A6">
        <w:t xml:space="preserve">stipulated in </w:t>
      </w:r>
      <w:r w:rsidR="00964A76">
        <w:t xml:space="preserve">paragraph 10 </w:t>
      </w:r>
      <w:r w:rsidR="008879A6">
        <w:t xml:space="preserve">of this policy and part 2 of the STPCD. </w:t>
      </w:r>
    </w:p>
    <w:p w14:paraId="6FFFEC8E" w14:textId="77777777" w:rsidR="0096515F" w:rsidRDefault="0096515F" w:rsidP="004173E7">
      <w:pPr>
        <w:rPr>
          <w:b/>
          <w:szCs w:val="24"/>
        </w:rPr>
      </w:pPr>
    </w:p>
    <w:p w14:paraId="22D6CCD2" w14:textId="017F0797" w:rsidR="00DA35D3" w:rsidRPr="00DA35D3" w:rsidRDefault="00CF25D5" w:rsidP="00F56B7E">
      <w:pPr>
        <w:ind w:left="720" w:hanging="720"/>
      </w:pPr>
      <w:r>
        <w:t>7</w:t>
      </w:r>
      <w:r w:rsidR="00424AEB">
        <w:t>.</w:t>
      </w:r>
      <w:r w:rsidR="001B19B8">
        <w:t>1</w:t>
      </w:r>
      <w:r w:rsidR="4FEA8B11">
        <w:t>1</w:t>
      </w:r>
      <w:r>
        <w:tab/>
      </w:r>
      <w:r w:rsidR="00424AEB">
        <w:t>Teachers will be provided with a written pay statement no later than one month of their salary determination.  This will include the information required by the STPCD.  The reason for declining any pay progression will be clearly specified in the individual pay statement.</w:t>
      </w:r>
    </w:p>
    <w:p w14:paraId="257C6C2F" w14:textId="77777777" w:rsidR="00DA35D3" w:rsidRDefault="00DA35D3" w:rsidP="00124D59">
      <w:pPr>
        <w:rPr>
          <w:szCs w:val="24"/>
        </w:rPr>
      </w:pPr>
    </w:p>
    <w:p w14:paraId="314EFD06" w14:textId="6C96FD8F" w:rsidR="0047080B" w:rsidRPr="00966766" w:rsidRDefault="007B7848" w:rsidP="00124D59">
      <w:pPr>
        <w:rPr>
          <w:b/>
          <w:sz w:val="36"/>
          <w:szCs w:val="36"/>
        </w:rPr>
      </w:pPr>
      <w:bookmarkStart w:id="14" w:name="Appeal_Precedure"/>
      <w:bookmarkStart w:id="15" w:name="Appeal_Procedure"/>
      <w:r>
        <w:rPr>
          <w:b/>
          <w:sz w:val="36"/>
          <w:szCs w:val="36"/>
        </w:rPr>
        <w:t>8</w:t>
      </w:r>
      <w:r w:rsidR="0047080B" w:rsidRPr="00966766">
        <w:rPr>
          <w:b/>
          <w:sz w:val="36"/>
          <w:szCs w:val="36"/>
        </w:rPr>
        <w:tab/>
        <w:t>Appeals Procedure</w:t>
      </w:r>
    </w:p>
    <w:bookmarkEnd w:id="14"/>
    <w:bookmarkEnd w:id="15"/>
    <w:p w14:paraId="3E4DA0A1" w14:textId="77777777" w:rsidR="00966766" w:rsidRDefault="00966766" w:rsidP="00124D59">
      <w:pPr>
        <w:rPr>
          <w:szCs w:val="24"/>
        </w:rPr>
      </w:pPr>
    </w:p>
    <w:p w14:paraId="431804F9" w14:textId="452608F0" w:rsidR="00784329" w:rsidRPr="00D01519" w:rsidRDefault="007B7848" w:rsidP="0096515F">
      <w:pPr>
        <w:ind w:left="720" w:hanging="720"/>
        <w:rPr>
          <w:szCs w:val="24"/>
        </w:rPr>
      </w:pPr>
      <w:r>
        <w:rPr>
          <w:szCs w:val="24"/>
        </w:rPr>
        <w:t>8</w:t>
      </w:r>
      <w:r w:rsidR="0096515F">
        <w:rPr>
          <w:szCs w:val="24"/>
        </w:rPr>
        <w:t>.1</w:t>
      </w:r>
      <w:r w:rsidR="0096515F">
        <w:rPr>
          <w:szCs w:val="24"/>
        </w:rPr>
        <w:tab/>
      </w:r>
      <w:r w:rsidR="00784329" w:rsidRPr="0047080B">
        <w:rPr>
          <w:szCs w:val="24"/>
        </w:rPr>
        <w:t>As part of the appraisal process, a pay recommendation is made by the appraiser/reviewer and discussed with the teacher prior to being submitted to the committee</w:t>
      </w:r>
      <w:r w:rsidR="004F52AB">
        <w:rPr>
          <w:szCs w:val="24"/>
        </w:rPr>
        <w:t>/panel</w:t>
      </w:r>
      <w:r w:rsidR="00784329">
        <w:rPr>
          <w:szCs w:val="24"/>
        </w:rPr>
        <w:t xml:space="preserve"> </w:t>
      </w:r>
      <w:r w:rsidR="00784329" w:rsidRPr="00D01519">
        <w:rPr>
          <w:szCs w:val="24"/>
        </w:rPr>
        <w:t>who make the pay determination.</w:t>
      </w:r>
    </w:p>
    <w:p w14:paraId="0B839F0D" w14:textId="77777777" w:rsidR="00784329" w:rsidRPr="00D01519" w:rsidRDefault="00784329" w:rsidP="00784329">
      <w:pPr>
        <w:rPr>
          <w:szCs w:val="24"/>
        </w:rPr>
      </w:pPr>
    </w:p>
    <w:p w14:paraId="537959FD" w14:textId="06FD46DA" w:rsidR="00784329" w:rsidRDefault="007B7848" w:rsidP="0096515F">
      <w:pPr>
        <w:ind w:left="720" w:hanging="720"/>
        <w:rPr>
          <w:szCs w:val="24"/>
        </w:rPr>
      </w:pPr>
      <w:r>
        <w:rPr>
          <w:szCs w:val="24"/>
        </w:rPr>
        <w:t>8</w:t>
      </w:r>
      <w:r w:rsidR="0096515F">
        <w:rPr>
          <w:szCs w:val="24"/>
        </w:rPr>
        <w:t>.2</w:t>
      </w:r>
      <w:r w:rsidR="0096515F">
        <w:rPr>
          <w:szCs w:val="24"/>
        </w:rPr>
        <w:tab/>
      </w:r>
      <w:r w:rsidR="00784329" w:rsidRPr="00D01519">
        <w:rPr>
          <w:szCs w:val="24"/>
        </w:rPr>
        <w:t xml:space="preserve">A teacher who is dissatisfied with a pay recommendation as set out in their appraisal report, </w:t>
      </w:r>
      <w:proofErr w:type="gramStart"/>
      <w:r w:rsidR="00784329" w:rsidRPr="00D01519">
        <w:rPr>
          <w:szCs w:val="24"/>
        </w:rPr>
        <w:t>has the opportunity to</w:t>
      </w:r>
      <w:proofErr w:type="gramEnd"/>
      <w:r w:rsidR="00784329" w:rsidRPr="00D01519">
        <w:rPr>
          <w:szCs w:val="24"/>
        </w:rPr>
        <w:t xml:space="preserve"> discuss the recommendation with the appraiser or Headteacher</w:t>
      </w:r>
      <w:r w:rsidR="00784329">
        <w:rPr>
          <w:szCs w:val="24"/>
        </w:rPr>
        <w:t xml:space="preserve"> (in line with the Appraisal policy) </w:t>
      </w:r>
      <w:r w:rsidR="00784329" w:rsidRPr="002D6932">
        <w:rPr>
          <w:b/>
          <w:szCs w:val="24"/>
        </w:rPr>
        <w:t>before</w:t>
      </w:r>
      <w:r w:rsidR="00784329">
        <w:rPr>
          <w:szCs w:val="24"/>
        </w:rPr>
        <w:t xml:space="preserve"> the recommendation is actioned and confirmation of the pay decision is made by the school.  </w:t>
      </w:r>
    </w:p>
    <w:p w14:paraId="717E1573" w14:textId="77777777" w:rsidR="00784329" w:rsidRDefault="00784329" w:rsidP="00784329">
      <w:pPr>
        <w:rPr>
          <w:szCs w:val="24"/>
        </w:rPr>
      </w:pPr>
    </w:p>
    <w:p w14:paraId="0D09D51E" w14:textId="5326210F" w:rsidR="00784329" w:rsidRDefault="007B7848" w:rsidP="0096515F">
      <w:pPr>
        <w:ind w:left="720" w:hanging="720"/>
        <w:rPr>
          <w:szCs w:val="24"/>
        </w:rPr>
      </w:pPr>
      <w:r>
        <w:rPr>
          <w:szCs w:val="24"/>
        </w:rPr>
        <w:t>8</w:t>
      </w:r>
      <w:r w:rsidR="0096515F">
        <w:rPr>
          <w:szCs w:val="24"/>
        </w:rPr>
        <w:t>.3</w:t>
      </w:r>
      <w:r w:rsidR="0096515F">
        <w:rPr>
          <w:szCs w:val="24"/>
        </w:rPr>
        <w:tab/>
      </w:r>
      <w:r w:rsidR="00784329">
        <w:rPr>
          <w:szCs w:val="24"/>
        </w:rPr>
        <w:t>A</w:t>
      </w:r>
      <w:r w:rsidR="00784329" w:rsidRPr="0047080B">
        <w:rPr>
          <w:szCs w:val="24"/>
        </w:rPr>
        <w:t xml:space="preserve">t the conclusion of any further </w:t>
      </w:r>
      <w:r w:rsidR="00784329" w:rsidRPr="00D01519">
        <w:rPr>
          <w:szCs w:val="24"/>
        </w:rPr>
        <w:t xml:space="preserve">discussion relating to the appraisal report, the pay recommendation may be </w:t>
      </w:r>
      <w:proofErr w:type="gramStart"/>
      <w:r w:rsidR="00784329" w:rsidRPr="00D01519">
        <w:rPr>
          <w:szCs w:val="24"/>
        </w:rPr>
        <w:t>adjusted</w:t>
      </w:r>
      <w:proofErr w:type="gramEnd"/>
      <w:r w:rsidR="00784329" w:rsidRPr="00D01519">
        <w:rPr>
          <w:szCs w:val="24"/>
        </w:rPr>
        <w:t xml:space="preserve"> or it may remain the same.  </w:t>
      </w:r>
      <w:r w:rsidR="00784329" w:rsidRPr="00D01519">
        <w:rPr>
          <w:bCs/>
          <w:szCs w:val="24"/>
          <w:lang w:eastAsia="en-GB"/>
        </w:rPr>
        <w:t>The discussion about the objections should be recorded on the appraisal report and should take place before the pay determination has been made.</w:t>
      </w:r>
      <w:r w:rsidR="00784329">
        <w:rPr>
          <w:bCs/>
          <w:szCs w:val="24"/>
          <w:lang w:eastAsia="en-GB"/>
        </w:rPr>
        <w:t xml:space="preserve">  </w:t>
      </w:r>
      <w:r w:rsidR="00784329" w:rsidRPr="00187B10">
        <w:rPr>
          <w:bCs/>
          <w:szCs w:val="24"/>
          <w:lang w:eastAsia="en-GB"/>
        </w:rPr>
        <w:t xml:space="preserve"> </w:t>
      </w:r>
    </w:p>
    <w:p w14:paraId="4D418896" w14:textId="77777777" w:rsidR="00784329" w:rsidRDefault="00784329" w:rsidP="00784329">
      <w:pPr>
        <w:ind w:left="720"/>
        <w:rPr>
          <w:szCs w:val="24"/>
        </w:rPr>
      </w:pPr>
    </w:p>
    <w:p w14:paraId="6621AE2B" w14:textId="49060FEC" w:rsidR="00784329" w:rsidRPr="00784329" w:rsidRDefault="007B7848" w:rsidP="0096515F">
      <w:pPr>
        <w:ind w:left="720" w:hanging="720"/>
        <w:rPr>
          <w:szCs w:val="24"/>
        </w:rPr>
      </w:pPr>
      <w:r>
        <w:rPr>
          <w:szCs w:val="24"/>
        </w:rPr>
        <w:t>8</w:t>
      </w:r>
      <w:r w:rsidR="0096515F">
        <w:rPr>
          <w:szCs w:val="24"/>
        </w:rPr>
        <w:t>.4</w:t>
      </w:r>
      <w:r w:rsidR="0096515F">
        <w:rPr>
          <w:szCs w:val="24"/>
        </w:rPr>
        <w:tab/>
      </w:r>
      <w:r w:rsidR="00784329">
        <w:rPr>
          <w:szCs w:val="24"/>
        </w:rPr>
        <w:t>Once a pay determination is made i</w:t>
      </w:r>
      <w:r w:rsidR="00784329" w:rsidRPr="0047080B">
        <w:rPr>
          <w:szCs w:val="24"/>
        </w:rPr>
        <w:t>f</w:t>
      </w:r>
      <w:r w:rsidR="00784329">
        <w:rPr>
          <w:szCs w:val="24"/>
        </w:rPr>
        <w:t xml:space="preserve">, </w:t>
      </w:r>
      <w:r w:rsidR="00784329" w:rsidRPr="0047080B">
        <w:rPr>
          <w:szCs w:val="24"/>
        </w:rPr>
        <w:t xml:space="preserve">a teacher </w:t>
      </w:r>
      <w:r w:rsidR="00784329">
        <w:rPr>
          <w:szCs w:val="24"/>
        </w:rPr>
        <w:t>is</w:t>
      </w:r>
      <w:r w:rsidR="00784329" w:rsidRPr="0047080B">
        <w:rPr>
          <w:szCs w:val="24"/>
        </w:rPr>
        <w:t xml:space="preserve"> </w:t>
      </w:r>
      <w:r w:rsidR="00784329">
        <w:rPr>
          <w:szCs w:val="24"/>
        </w:rPr>
        <w:t>dis</w:t>
      </w:r>
      <w:r w:rsidR="00784329" w:rsidRPr="0047080B">
        <w:rPr>
          <w:szCs w:val="24"/>
        </w:rPr>
        <w:t xml:space="preserve">satisfied with </w:t>
      </w:r>
      <w:r w:rsidR="00784329" w:rsidRPr="00784329">
        <w:rPr>
          <w:szCs w:val="24"/>
        </w:rPr>
        <w:t>the pay determination</w:t>
      </w:r>
      <w:r w:rsidR="00784329">
        <w:rPr>
          <w:szCs w:val="24"/>
        </w:rPr>
        <w:t xml:space="preserve"> </w:t>
      </w:r>
      <w:r w:rsidR="00784329" w:rsidRPr="0047080B">
        <w:rPr>
          <w:szCs w:val="24"/>
        </w:rPr>
        <w:t xml:space="preserve">they may formally appeal against the decision within 10 working </w:t>
      </w:r>
      <w:r w:rsidR="00784329" w:rsidRPr="00D01519">
        <w:rPr>
          <w:szCs w:val="24"/>
        </w:rPr>
        <w:t>days to the Clerk to the Governing Bo</w:t>
      </w:r>
      <w:r w:rsidR="00914CC7">
        <w:rPr>
          <w:szCs w:val="24"/>
        </w:rPr>
        <w:t>ard</w:t>
      </w:r>
      <w:r w:rsidR="00784329">
        <w:rPr>
          <w:szCs w:val="24"/>
        </w:rPr>
        <w:t xml:space="preserve"> and, at </w:t>
      </w:r>
      <w:r w:rsidR="00784329" w:rsidRPr="00784329">
        <w:rPr>
          <w:szCs w:val="24"/>
        </w:rPr>
        <w:t>this point, include in writing sufficient detail of the grounds of appeal.</w:t>
      </w:r>
    </w:p>
    <w:p w14:paraId="352392FF" w14:textId="77777777" w:rsidR="00784329" w:rsidRPr="00784329" w:rsidRDefault="00784329" w:rsidP="00784329">
      <w:pPr>
        <w:rPr>
          <w:szCs w:val="24"/>
        </w:rPr>
      </w:pPr>
    </w:p>
    <w:p w14:paraId="30CAFF47" w14:textId="66A7EF39" w:rsidR="00784329" w:rsidRDefault="007B7848" w:rsidP="0096515F">
      <w:pPr>
        <w:ind w:left="709" w:hanging="709"/>
        <w:rPr>
          <w:szCs w:val="24"/>
        </w:rPr>
      </w:pPr>
      <w:r>
        <w:rPr>
          <w:szCs w:val="24"/>
        </w:rPr>
        <w:t>8</w:t>
      </w:r>
      <w:r w:rsidR="0096515F">
        <w:rPr>
          <w:szCs w:val="24"/>
        </w:rPr>
        <w:t>.5</w:t>
      </w:r>
      <w:r w:rsidR="0096515F">
        <w:rPr>
          <w:szCs w:val="24"/>
        </w:rPr>
        <w:tab/>
      </w:r>
      <w:r w:rsidR="00784329" w:rsidRPr="00784329">
        <w:rPr>
          <w:szCs w:val="24"/>
        </w:rPr>
        <w:t>The only grounds that will be accepted as the basis of an appeal are that the person who made the decision are claimed to have:</w:t>
      </w:r>
    </w:p>
    <w:p w14:paraId="76B01AEF" w14:textId="77777777" w:rsidR="00784329" w:rsidRPr="00784329" w:rsidRDefault="00784329" w:rsidP="0096515F">
      <w:pPr>
        <w:ind w:left="720" w:firstLine="414"/>
        <w:rPr>
          <w:szCs w:val="24"/>
        </w:rPr>
      </w:pPr>
    </w:p>
    <w:p w14:paraId="5D06425A" w14:textId="77777777" w:rsidR="00784329" w:rsidRPr="00784329" w:rsidRDefault="00784329" w:rsidP="00D13A0A">
      <w:pPr>
        <w:numPr>
          <w:ilvl w:val="0"/>
          <w:numId w:val="12"/>
        </w:numPr>
        <w:ind w:left="1418" w:hanging="437"/>
        <w:rPr>
          <w:szCs w:val="24"/>
        </w:rPr>
      </w:pPr>
      <w:r w:rsidRPr="00784329">
        <w:rPr>
          <w:szCs w:val="24"/>
        </w:rPr>
        <w:t xml:space="preserve">Incorrectly applied the school’s appraisal or pay </w:t>
      </w:r>
      <w:proofErr w:type="gramStart"/>
      <w:r w:rsidRPr="00784329">
        <w:rPr>
          <w:szCs w:val="24"/>
        </w:rPr>
        <w:t>policy;</w:t>
      </w:r>
      <w:proofErr w:type="gramEnd"/>
    </w:p>
    <w:p w14:paraId="542C5687" w14:textId="77777777" w:rsidR="00784329" w:rsidRPr="00784329" w:rsidRDefault="00784329" w:rsidP="00D13A0A">
      <w:pPr>
        <w:numPr>
          <w:ilvl w:val="0"/>
          <w:numId w:val="12"/>
        </w:numPr>
        <w:ind w:left="1418" w:hanging="437"/>
        <w:rPr>
          <w:szCs w:val="24"/>
        </w:rPr>
      </w:pPr>
      <w:r w:rsidRPr="00784329">
        <w:rPr>
          <w:szCs w:val="24"/>
        </w:rPr>
        <w:t xml:space="preserve">incorrectly applied any provision in the </w:t>
      </w:r>
      <w:proofErr w:type="gramStart"/>
      <w:r w:rsidRPr="00784329">
        <w:rPr>
          <w:szCs w:val="24"/>
        </w:rPr>
        <w:t>STPCD;</w:t>
      </w:r>
      <w:proofErr w:type="gramEnd"/>
    </w:p>
    <w:p w14:paraId="44005F18" w14:textId="77777777" w:rsidR="00784329" w:rsidRPr="00784329" w:rsidRDefault="00784329" w:rsidP="00D13A0A">
      <w:pPr>
        <w:numPr>
          <w:ilvl w:val="0"/>
          <w:numId w:val="12"/>
        </w:numPr>
        <w:ind w:left="1418" w:hanging="437"/>
        <w:rPr>
          <w:szCs w:val="24"/>
        </w:rPr>
      </w:pPr>
      <w:r w:rsidRPr="00784329">
        <w:rPr>
          <w:szCs w:val="24"/>
        </w:rPr>
        <w:t xml:space="preserve">failed to have proper regard to statutory </w:t>
      </w:r>
      <w:proofErr w:type="gramStart"/>
      <w:r w:rsidRPr="00784329">
        <w:rPr>
          <w:szCs w:val="24"/>
        </w:rPr>
        <w:t>guidance;</w:t>
      </w:r>
      <w:proofErr w:type="gramEnd"/>
    </w:p>
    <w:p w14:paraId="5D4D04B1" w14:textId="77777777" w:rsidR="00784329" w:rsidRPr="00784329" w:rsidRDefault="00784329" w:rsidP="00D13A0A">
      <w:pPr>
        <w:numPr>
          <w:ilvl w:val="0"/>
          <w:numId w:val="12"/>
        </w:numPr>
        <w:ind w:left="1418" w:hanging="437"/>
        <w:rPr>
          <w:szCs w:val="24"/>
        </w:rPr>
      </w:pPr>
      <w:r w:rsidRPr="00784329">
        <w:rPr>
          <w:szCs w:val="24"/>
        </w:rPr>
        <w:t xml:space="preserve">failed to take proper account of relevant </w:t>
      </w:r>
      <w:proofErr w:type="gramStart"/>
      <w:r w:rsidRPr="00784329">
        <w:rPr>
          <w:szCs w:val="24"/>
        </w:rPr>
        <w:t>evidence;</w:t>
      </w:r>
      <w:proofErr w:type="gramEnd"/>
    </w:p>
    <w:p w14:paraId="6EB9E67F" w14:textId="77777777" w:rsidR="00784329" w:rsidRPr="00784329" w:rsidRDefault="00784329" w:rsidP="00D13A0A">
      <w:pPr>
        <w:numPr>
          <w:ilvl w:val="0"/>
          <w:numId w:val="12"/>
        </w:numPr>
        <w:ind w:left="1418" w:hanging="437"/>
        <w:rPr>
          <w:szCs w:val="24"/>
        </w:rPr>
      </w:pPr>
      <w:r w:rsidRPr="00784329">
        <w:rPr>
          <w:szCs w:val="24"/>
        </w:rPr>
        <w:t xml:space="preserve">took account or irrelevant or inaccurate </w:t>
      </w:r>
      <w:proofErr w:type="gramStart"/>
      <w:r w:rsidRPr="00784329">
        <w:rPr>
          <w:szCs w:val="24"/>
        </w:rPr>
        <w:t>evidence;</w:t>
      </w:r>
      <w:proofErr w:type="gramEnd"/>
    </w:p>
    <w:p w14:paraId="6CCC7B10" w14:textId="77777777" w:rsidR="00784329" w:rsidRPr="00784329" w:rsidRDefault="00784329" w:rsidP="00D13A0A">
      <w:pPr>
        <w:numPr>
          <w:ilvl w:val="0"/>
          <w:numId w:val="12"/>
        </w:numPr>
        <w:ind w:left="1418" w:hanging="437"/>
        <w:rPr>
          <w:szCs w:val="24"/>
        </w:rPr>
      </w:pPr>
      <w:r w:rsidRPr="00784329">
        <w:rPr>
          <w:szCs w:val="24"/>
        </w:rPr>
        <w:t>was biased; or</w:t>
      </w:r>
    </w:p>
    <w:p w14:paraId="7B9A086C" w14:textId="77777777" w:rsidR="00784329" w:rsidRPr="00784329" w:rsidRDefault="00784329" w:rsidP="00D13A0A">
      <w:pPr>
        <w:numPr>
          <w:ilvl w:val="0"/>
          <w:numId w:val="12"/>
        </w:numPr>
        <w:ind w:left="1418" w:hanging="437"/>
        <w:rPr>
          <w:szCs w:val="24"/>
        </w:rPr>
      </w:pPr>
      <w:r w:rsidRPr="00784329">
        <w:rPr>
          <w:szCs w:val="24"/>
        </w:rPr>
        <w:t>unlawfully discriminated against the teacher.</w:t>
      </w:r>
    </w:p>
    <w:p w14:paraId="5F4221ED" w14:textId="77777777" w:rsidR="00784329" w:rsidRDefault="00784329" w:rsidP="00784329">
      <w:pPr>
        <w:rPr>
          <w:szCs w:val="24"/>
        </w:rPr>
      </w:pPr>
    </w:p>
    <w:p w14:paraId="071C6355" w14:textId="3E14EE15" w:rsidR="00784329" w:rsidRDefault="007B7848" w:rsidP="0096515F">
      <w:pPr>
        <w:ind w:left="709" w:hanging="709"/>
        <w:rPr>
          <w:szCs w:val="24"/>
        </w:rPr>
      </w:pPr>
      <w:r>
        <w:rPr>
          <w:szCs w:val="24"/>
        </w:rPr>
        <w:t>8</w:t>
      </w:r>
      <w:r w:rsidR="0096515F">
        <w:rPr>
          <w:szCs w:val="24"/>
        </w:rPr>
        <w:t>.6</w:t>
      </w:r>
      <w:r w:rsidR="0096515F">
        <w:rPr>
          <w:szCs w:val="24"/>
        </w:rPr>
        <w:tab/>
      </w:r>
      <w:r w:rsidR="00784329" w:rsidRPr="0047080B">
        <w:rPr>
          <w:szCs w:val="24"/>
        </w:rPr>
        <w:t>Any appeal should be dealt with promptly, thoroughly and impartially.</w:t>
      </w:r>
      <w:r w:rsidR="00784329" w:rsidRPr="00784329">
        <w:rPr>
          <w:szCs w:val="24"/>
        </w:rPr>
        <w:t xml:space="preserve"> </w:t>
      </w:r>
      <w:hyperlink w:anchor="Append1" w:history="1">
        <w:r w:rsidR="00784329" w:rsidRPr="00B25D97">
          <w:rPr>
            <w:rStyle w:val="Hyperlink"/>
            <w:szCs w:val="24"/>
          </w:rPr>
          <w:t>Appendix 1</w:t>
        </w:r>
      </w:hyperlink>
      <w:r w:rsidR="00784329" w:rsidRPr="0047080B">
        <w:rPr>
          <w:szCs w:val="24"/>
        </w:rPr>
        <w:t xml:space="preserve"> of this policy</w:t>
      </w:r>
      <w:r w:rsidR="00784329">
        <w:rPr>
          <w:szCs w:val="24"/>
        </w:rPr>
        <w:t xml:space="preserve"> sets out the procedure to be used during an appeal hearing</w:t>
      </w:r>
      <w:r w:rsidR="00784329" w:rsidRPr="0047080B">
        <w:rPr>
          <w:szCs w:val="24"/>
        </w:rPr>
        <w:t xml:space="preserve">.  </w:t>
      </w:r>
    </w:p>
    <w:p w14:paraId="671B6C5F" w14:textId="77777777" w:rsidR="00784329" w:rsidRPr="0047080B" w:rsidRDefault="00784329" w:rsidP="00784329">
      <w:pPr>
        <w:rPr>
          <w:szCs w:val="24"/>
        </w:rPr>
      </w:pPr>
    </w:p>
    <w:p w14:paraId="22197711" w14:textId="46C9F159" w:rsidR="00784329" w:rsidRDefault="007B7848" w:rsidP="0096515F">
      <w:pPr>
        <w:ind w:left="567" w:hanging="567"/>
        <w:rPr>
          <w:szCs w:val="24"/>
        </w:rPr>
      </w:pPr>
      <w:r>
        <w:rPr>
          <w:szCs w:val="24"/>
        </w:rPr>
        <w:lastRenderedPageBreak/>
        <w:t>8</w:t>
      </w:r>
      <w:r w:rsidR="0096515F">
        <w:rPr>
          <w:szCs w:val="24"/>
        </w:rPr>
        <w:t>.7</w:t>
      </w:r>
      <w:r w:rsidR="0096515F">
        <w:rPr>
          <w:szCs w:val="24"/>
        </w:rPr>
        <w:tab/>
      </w:r>
      <w:r w:rsidR="00784329" w:rsidRPr="0047080B">
        <w:rPr>
          <w:szCs w:val="24"/>
        </w:rPr>
        <w:t>Employees have the right to be accompani</w:t>
      </w:r>
      <w:r w:rsidR="00784329" w:rsidRPr="004F52AB">
        <w:rPr>
          <w:szCs w:val="24"/>
        </w:rPr>
        <w:t>ed at an appeal hearing</w:t>
      </w:r>
      <w:r w:rsidR="003D1539" w:rsidRPr="004F52AB">
        <w:rPr>
          <w:szCs w:val="24"/>
        </w:rPr>
        <w:t xml:space="preserve"> by a work colleague or trade union representative</w:t>
      </w:r>
      <w:r w:rsidR="00784329" w:rsidRPr="0047080B">
        <w:rPr>
          <w:szCs w:val="24"/>
        </w:rPr>
        <w:t>.  If the employee</w:t>
      </w:r>
      <w:r w:rsidR="00784329">
        <w:rPr>
          <w:szCs w:val="24"/>
        </w:rPr>
        <w:t>’</w:t>
      </w:r>
      <w:r w:rsidR="00784329" w:rsidRPr="0047080B">
        <w:rPr>
          <w:szCs w:val="24"/>
        </w:rPr>
        <w:t>s representative</w:t>
      </w:r>
      <w:r w:rsidR="009F017A">
        <w:rPr>
          <w:szCs w:val="24"/>
        </w:rPr>
        <w:t xml:space="preserve"> or work colleague</w:t>
      </w:r>
      <w:r w:rsidR="00784329" w:rsidRPr="0047080B">
        <w:rPr>
          <w:szCs w:val="24"/>
        </w:rPr>
        <w:t xml:space="preserve"> is not available at the time of the hearing it must be rescheduled so long as a reasonable alternative date is within five working days of the original date proposed.</w:t>
      </w:r>
    </w:p>
    <w:p w14:paraId="45F998FF" w14:textId="77777777" w:rsidR="00784329" w:rsidRPr="0047080B" w:rsidRDefault="00784329" w:rsidP="00784329">
      <w:pPr>
        <w:rPr>
          <w:szCs w:val="24"/>
        </w:rPr>
      </w:pPr>
    </w:p>
    <w:p w14:paraId="136F55F7" w14:textId="2DF5B395" w:rsidR="00784329" w:rsidRDefault="007B7848" w:rsidP="0096515F">
      <w:pPr>
        <w:ind w:left="567" w:hanging="567"/>
        <w:rPr>
          <w:szCs w:val="24"/>
        </w:rPr>
      </w:pPr>
      <w:r>
        <w:rPr>
          <w:szCs w:val="24"/>
        </w:rPr>
        <w:t>8</w:t>
      </w:r>
      <w:r w:rsidR="0096515F">
        <w:rPr>
          <w:szCs w:val="24"/>
        </w:rPr>
        <w:t>.8</w:t>
      </w:r>
      <w:r w:rsidR="0096515F">
        <w:rPr>
          <w:szCs w:val="24"/>
        </w:rPr>
        <w:tab/>
      </w:r>
      <w:r w:rsidR="00784329" w:rsidRPr="0047080B">
        <w:rPr>
          <w:szCs w:val="24"/>
        </w:rPr>
        <w:t xml:space="preserve">The appeal will be heard by the Appeals committee consisting of a minimum of three governors who have not been previously involved in the pay </w:t>
      </w:r>
      <w:r w:rsidR="00784329">
        <w:rPr>
          <w:szCs w:val="24"/>
        </w:rPr>
        <w:t>d</w:t>
      </w:r>
      <w:r w:rsidR="00784329" w:rsidRPr="0047080B">
        <w:rPr>
          <w:szCs w:val="24"/>
        </w:rPr>
        <w:t>etermination and are not employees of the school.  It is highly recommended that these governors have knowledge and experience of the school</w:t>
      </w:r>
      <w:r w:rsidR="00784329">
        <w:rPr>
          <w:szCs w:val="24"/>
        </w:rPr>
        <w:t>’</w:t>
      </w:r>
      <w:r w:rsidR="00784329" w:rsidRPr="0047080B">
        <w:rPr>
          <w:szCs w:val="24"/>
        </w:rPr>
        <w:t xml:space="preserve">s appraisal and pay policies.  The appeal hearing should be formally clerked.  </w:t>
      </w:r>
    </w:p>
    <w:p w14:paraId="3141AAB7" w14:textId="77777777" w:rsidR="00784329" w:rsidRPr="002D6932" w:rsidRDefault="00784329" w:rsidP="00784329">
      <w:pPr>
        <w:rPr>
          <w:color w:val="FF0000"/>
          <w:szCs w:val="24"/>
        </w:rPr>
      </w:pPr>
    </w:p>
    <w:p w14:paraId="3F3EFAFC" w14:textId="623A9D44" w:rsidR="00784329" w:rsidRPr="004173E7" w:rsidRDefault="007B7848" w:rsidP="0096515F">
      <w:pPr>
        <w:ind w:left="567" w:hanging="567"/>
        <w:rPr>
          <w:szCs w:val="24"/>
        </w:rPr>
      </w:pPr>
      <w:r>
        <w:rPr>
          <w:szCs w:val="24"/>
        </w:rPr>
        <w:t>8</w:t>
      </w:r>
      <w:r w:rsidR="0096515F">
        <w:rPr>
          <w:szCs w:val="24"/>
        </w:rPr>
        <w:t>.9</w:t>
      </w:r>
      <w:r w:rsidR="0096515F">
        <w:rPr>
          <w:szCs w:val="24"/>
        </w:rPr>
        <w:tab/>
      </w:r>
      <w:r w:rsidR="00784329" w:rsidRPr="0047080B">
        <w:rPr>
          <w:szCs w:val="24"/>
        </w:rPr>
        <w:t>Both the person who made the recommendation and the decision maker</w:t>
      </w:r>
      <w:r w:rsidR="00784329">
        <w:rPr>
          <w:szCs w:val="24"/>
        </w:rPr>
        <w:t xml:space="preserve"> who </w:t>
      </w:r>
      <w:r w:rsidR="00784329" w:rsidRPr="004173E7">
        <w:rPr>
          <w:szCs w:val="24"/>
        </w:rPr>
        <w:t xml:space="preserve">made the pay determination will be required to attend the appeal.  </w:t>
      </w:r>
    </w:p>
    <w:p w14:paraId="6E2F5A7A" w14:textId="77777777" w:rsidR="00784329" w:rsidRPr="004173E7" w:rsidRDefault="00784329" w:rsidP="00784329">
      <w:pPr>
        <w:rPr>
          <w:szCs w:val="24"/>
        </w:rPr>
      </w:pPr>
    </w:p>
    <w:p w14:paraId="29AEFEB8" w14:textId="4C50456B" w:rsidR="00784329" w:rsidRPr="004173E7" w:rsidRDefault="007B7848" w:rsidP="0096515F">
      <w:pPr>
        <w:ind w:left="567" w:hanging="567"/>
        <w:rPr>
          <w:szCs w:val="24"/>
        </w:rPr>
      </w:pPr>
      <w:r>
        <w:rPr>
          <w:szCs w:val="24"/>
        </w:rPr>
        <w:t>8</w:t>
      </w:r>
      <w:r w:rsidR="0096515F">
        <w:rPr>
          <w:szCs w:val="24"/>
        </w:rPr>
        <w:t>.10</w:t>
      </w:r>
      <w:r w:rsidR="0096515F">
        <w:rPr>
          <w:szCs w:val="24"/>
        </w:rPr>
        <w:tab/>
      </w:r>
      <w:r w:rsidR="00784329" w:rsidRPr="004173E7">
        <w:rPr>
          <w:szCs w:val="24"/>
        </w:rPr>
        <w:t xml:space="preserve">In advance of the appeal hearing date, and at least 5 working days before the appeal hearing date, the appeal panel will, as a minimum, receive copies of: </w:t>
      </w:r>
    </w:p>
    <w:p w14:paraId="396EB12F" w14:textId="77777777" w:rsidR="00784329" w:rsidRPr="004173E7" w:rsidRDefault="00784329" w:rsidP="00D13A0A">
      <w:pPr>
        <w:numPr>
          <w:ilvl w:val="0"/>
          <w:numId w:val="16"/>
        </w:numPr>
        <w:ind w:left="1418" w:hanging="425"/>
        <w:rPr>
          <w:szCs w:val="24"/>
        </w:rPr>
      </w:pPr>
      <w:r w:rsidRPr="004173E7">
        <w:rPr>
          <w:szCs w:val="24"/>
        </w:rPr>
        <w:t xml:space="preserve">The teacher’s written grounds of </w:t>
      </w:r>
      <w:proofErr w:type="gramStart"/>
      <w:r w:rsidRPr="004173E7">
        <w:rPr>
          <w:szCs w:val="24"/>
        </w:rPr>
        <w:t>appeal;</w:t>
      </w:r>
      <w:proofErr w:type="gramEnd"/>
    </w:p>
    <w:p w14:paraId="669037D5" w14:textId="77777777" w:rsidR="00784329" w:rsidRPr="004173E7" w:rsidRDefault="00784329" w:rsidP="00D13A0A">
      <w:pPr>
        <w:numPr>
          <w:ilvl w:val="0"/>
          <w:numId w:val="16"/>
        </w:numPr>
        <w:ind w:left="1418" w:hanging="425"/>
        <w:rPr>
          <w:szCs w:val="24"/>
        </w:rPr>
      </w:pPr>
      <w:r w:rsidRPr="004173E7">
        <w:rPr>
          <w:szCs w:val="24"/>
        </w:rPr>
        <w:t xml:space="preserve">The appraisal </w:t>
      </w:r>
      <w:proofErr w:type="gramStart"/>
      <w:r w:rsidRPr="004173E7">
        <w:rPr>
          <w:szCs w:val="24"/>
        </w:rPr>
        <w:t>report;</w:t>
      </w:r>
      <w:proofErr w:type="gramEnd"/>
    </w:p>
    <w:p w14:paraId="45BAC576" w14:textId="77777777" w:rsidR="00784329" w:rsidRPr="004173E7" w:rsidRDefault="00784329" w:rsidP="00D13A0A">
      <w:pPr>
        <w:numPr>
          <w:ilvl w:val="0"/>
          <w:numId w:val="16"/>
        </w:numPr>
        <w:ind w:left="1418" w:hanging="425"/>
        <w:rPr>
          <w:szCs w:val="24"/>
        </w:rPr>
      </w:pPr>
      <w:r w:rsidRPr="004173E7">
        <w:rPr>
          <w:szCs w:val="24"/>
        </w:rPr>
        <w:t xml:space="preserve">Any other documentation the teacher will rely </w:t>
      </w:r>
      <w:proofErr w:type="gramStart"/>
      <w:r w:rsidRPr="004173E7">
        <w:rPr>
          <w:szCs w:val="24"/>
        </w:rPr>
        <w:t>upon;</w:t>
      </w:r>
      <w:proofErr w:type="gramEnd"/>
    </w:p>
    <w:p w14:paraId="1DEBF69B" w14:textId="77777777" w:rsidR="00A47469" w:rsidRPr="00372FC5" w:rsidRDefault="00A47469" w:rsidP="00124D59">
      <w:pPr>
        <w:rPr>
          <w:b/>
          <w:color w:val="FF0000"/>
          <w:szCs w:val="24"/>
        </w:rPr>
      </w:pPr>
    </w:p>
    <w:p w14:paraId="0E04AAE4" w14:textId="571E4ED2" w:rsidR="00966766" w:rsidRPr="00966766" w:rsidRDefault="007B7848" w:rsidP="00124D59">
      <w:pPr>
        <w:rPr>
          <w:b/>
          <w:sz w:val="36"/>
          <w:szCs w:val="36"/>
        </w:rPr>
      </w:pPr>
      <w:bookmarkStart w:id="16" w:name="Leadership"/>
      <w:bookmarkStart w:id="17" w:name="Leadershop_GRoup"/>
      <w:r>
        <w:rPr>
          <w:b/>
          <w:sz w:val="36"/>
          <w:szCs w:val="36"/>
        </w:rPr>
        <w:t>10</w:t>
      </w:r>
      <w:r w:rsidR="0047080B" w:rsidRPr="00966766">
        <w:rPr>
          <w:b/>
          <w:sz w:val="36"/>
          <w:szCs w:val="36"/>
        </w:rPr>
        <w:tab/>
        <w:t>Leadership Group Pay</w:t>
      </w:r>
    </w:p>
    <w:bookmarkEnd w:id="16"/>
    <w:bookmarkEnd w:id="17"/>
    <w:p w14:paraId="641CA83F" w14:textId="77777777" w:rsidR="0047080B" w:rsidRPr="0047080B" w:rsidRDefault="0047080B" w:rsidP="00124D59">
      <w:pPr>
        <w:rPr>
          <w:b/>
          <w:szCs w:val="24"/>
        </w:rPr>
      </w:pPr>
      <w:r w:rsidRPr="0047080B">
        <w:rPr>
          <w:b/>
          <w:szCs w:val="24"/>
        </w:rPr>
        <w:t xml:space="preserve"> </w:t>
      </w:r>
    </w:p>
    <w:p w14:paraId="3A6F544D" w14:textId="079D9C46" w:rsidR="0047080B" w:rsidRDefault="002F2FE9" w:rsidP="0096515F">
      <w:pPr>
        <w:ind w:left="720" w:hanging="720"/>
      </w:pPr>
      <w:r>
        <w:t>10</w:t>
      </w:r>
      <w:r w:rsidR="0096515F">
        <w:t>.1</w:t>
      </w:r>
      <w:r>
        <w:tab/>
      </w:r>
      <w:r w:rsidR="0047080B">
        <w:t>To comply with the STPCD, the Governing Board will only review the pay of leadership group posts appointed prior to 1 September 20</w:t>
      </w:r>
      <w:r w:rsidR="523707E9">
        <w:t>14</w:t>
      </w:r>
      <w:r w:rsidR="0047080B">
        <w:t xml:space="preserve"> in the following circumstances:</w:t>
      </w:r>
    </w:p>
    <w:p w14:paraId="5C01D886" w14:textId="77777777" w:rsidR="00966766" w:rsidRPr="0047080B" w:rsidRDefault="00966766" w:rsidP="00124D59">
      <w:pPr>
        <w:ind w:left="720"/>
        <w:rPr>
          <w:szCs w:val="24"/>
        </w:rPr>
      </w:pPr>
    </w:p>
    <w:p w14:paraId="4DDC829E" w14:textId="77777777" w:rsidR="00966766" w:rsidRDefault="0047080B" w:rsidP="0096515F">
      <w:pPr>
        <w:numPr>
          <w:ilvl w:val="0"/>
          <w:numId w:val="8"/>
        </w:numPr>
        <w:ind w:left="1418" w:hanging="447"/>
        <w:rPr>
          <w:szCs w:val="24"/>
        </w:rPr>
      </w:pPr>
      <w:r w:rsidRPr="00966766">
        <w:rPr>
          <w:szCs w:val="24"/>
        </w:rPr>
        <w:t xml:space="preserve">individual responsibilities have significantly changed on or after 1 September </w:t>
      </w:r>
      <w:proofErr w:type="gramStart"/>
      <w:r w:rsidRPr="00966766">
        <w:rPr>
          <w:szCs w:val="24"/>
        </w:rPr>
        <w:t>2014;</w:t>
      </w:r>
      <w:proofErr w:type="gramEnd"/>
    </w:p>
    <w:p w14:paraId="1F8BBD7E" w14:textId="77777777" w:rsidR="0047080B" w:rsidRDefault="0047080B" w:rsidP="0096515F">
      <w:pPr>
        <w:numPr>
          <w:ilvl w:val="0"/>
          <w:numId w:val="8"/>
        </w:numPr>
        <w:ind w:left="1418" w:hanging="447"/>
        <w:rPr>
          <w:szCs w:val="24"/>
        </w:rPr>
      </w:pPr>
      <w:r w:rsidRPr="00966766">
        <w:rPr>
          <w:szCs w:val="24"/>
        </w:rPr>
        <w:t>to maintain consistency either with pay arrangements for new appointments to the leadership group made on or after 1 September 2014 or with pay arrangements for a member(s) of the leadership group whose responsibilities have significantly changed on or after that date.</w:t>
      </w:r>
    </w:p>
    <w:p w14:paraId="4EF1594C" w14:textId="77777777" w:rsidR="00966766" w:rsidRPr="00966766" w:rsidRDefault="00966766" w:rsidP="00D01519">
      <w:pPr>
        <w:ind w:left="1440"/>
        <w:rPr>
          <w:szCs w:val="24"/>
        </w:rPr>
      </w:pPr>
    </w:p>
    <w:p w14:paraId="1BFBA03D" w14:textId="06430787" w:rsidR="0047080B" w:rsidRDefault="002F2FE9" w:rsidP="0096515F">
      <w:pPr>
        <w:ind w:left="720" w:hanging="720"/>
        <w:rPr>
          <w:szCs w:val="24"/>
        </w:rPr>
      </w:pPr>
      <w:r>
        <w:rPr>
          <w:szCs w:val="24"/>
        </w:rPr>
        <w:t>10</w:t>
      </w:r>
      <w:r w:rsidR="0096515F">
        <w:rPr>
          <w:szCs w:val="24"/>
        </w:rPr>
        <w:t>.2</w:t>
      </w:r>
      <w:r w:rsidR="0096515F">
        <w:rPr>
          <w:szCs w:val="24"/>
        </w:rPr>
        <w:tab/>
      </w:r>
      <w:r w:rsidR="0047080B" w:rsidRPr="0047080B">
        <w:rPr>
          <w:szCs w:val="24"/>
        </w:rPr>
        <w:t xml:space="preserve">Any such review will be done so in accordance with the provisions of the STPCD.  </w:t>
      </w:r>
    </w:p>
    <w:p w14:paraId="1F3EFFA8" w14:textId="77777777" w:rsidR="00EF1450" w:rsidRPr="0047080B" w:rsidRDefault="00EF1450" w:rsidP="00D01519">
      <w:pPr>
        <w:ind w:left="720"/>
        <w:rPr>
          <w:szCs w:val="24"/>
        </w:rPr>
      </w:pPr>
    </w:p>
    <w:p w14:paraId="68114FDE" w14:textId="78F11BE5" w:rsidR="00BA22E3" w:rsidRDefault="002F2FE9" w:rsidP="00D01519">
      <w:pPr>
        <w:rPr>
          <w:szCs w:val="24"/>
        </w:rPr>
      </w:pPr>
      <w:r>
        <w:rPr>
          <w:szCs w:val="24"/>
        </w:rPr>
        <w:t>10</w:t>
      </w:r>
      <w:r w:rsidR="0096515F">
        <w:rPr>
          <w:szCs w:val="24"/>
        </w:rPr>
        <w:t>.3</w:t>
      </w:r>
      <w:r w:rsidR="0096515F">
        <w:rPr>
          <w:szCs w:val="24"/>
        </w:rPr>
        <w:tab/>
      </w:r>
      <w:r w:rsidR="0047080B" w:rsidRPr="0047080B">
        <w:rPr>
          <w:szCs w:val="24"/>
        </w:rPr>
        <w:t>For new appointments, the Governing Board will comply with the STPCD.</w:t>
      </w:r>
    </w:p>
    <w:p w14:paraId="448E73EE" w14:textId="77777777" w:rsidR="00BA22E3" w:rsidRDefault="00BA22E3" w:rsidP="00D01519">
      <w:pPr>
        <w:rPr>
          <w:szCs w:val="24"/>
        </w:rPr>
      </w:pPr>
    </w:p>
    <w:p w14:paraId="64239527" w14:textId="7F6A4483" w:rsidR="00EF1450" w:rsidRPr="00E676B2" w:rsidRDefault="002F2FE9" w:rsidP="005D6E7D">
      <w:pPr>
        <w:ind w:left="720" w:hanging="720"/>
        <w:rPr>
          <w:szCs w:val="24"/>
        </w:rPr>
      </w:pPr>
      <w:r>
        <w:t>10</w:t>
      </w:r>
      <w:r w:rsidR="00893EBB" w:rsidRPr="00E676B2">
        <w:t>.4</w:t>
      </w:r>
      <w:r w:rsidR="00893EBB" w:rsidRPr="00E676B2">
        <w:tab/>
      </w:r>
      <w:r w:rsidR="00BA22E3" w:rsidRPr="00E676B2">
        <w:t xml:space="preserve">The Governing Board must assign the school to a headteacher group </w:t>
      </w:r>
      <w:r w:rsidR="00893EBB" w:rsidRPr="00E676B2">
        <w:t xml:space="preserve">in line with the STPCD, </w:t>
      </w:r>
      <w:r w:rsidR="00BA22E3" w:rsidRPr="00E676B2">
        <w:t xml:space="preserve">for </w:t>
      </w:r>
      <w:r w:rsidR="00BA22E3" w:rsidRPr="00E676B2">
        <w:rPr>
          <w:szCs w:val="24"/>
        </w:rPr>
        <w:t>the purposes</w:t>
      </w:r>
      <w:r w:rsidR="0047080B" w:rsidRPr="00E676B2">
        <w:rPr>
          <w:szCs w:val="24"/>
        </w:rPr>
        <w:t xml:space="preserve"> </w:t>
      </w:r>
      <w:r w:rsidR="00BA22E3" w:rsidRPr="00E676B2">
        <w:rPr>
          <w:szCs w:val="24"/>
        </w:rPr>
        <w:t xml:space="preserve">of </w:t>
      </w:r>
      <w:r w:rsidR="00935F38" w:rsidRPr="00E676B2">
        <w:rPr>
          <w:szCs w:val="24"/>
        </w:rPr>
        <w:t xml:space="preserve">determining the leadership pay range and </w:t>
      </w:r>
      <w:r w:rsidR="00893EBB" w:rsidRPr="00E676B2">
        <w:rPr>
          <w:szCs w:val="24"/>
        </w:rPr>
        <w:t>pay progression.</w:t>
      </w:r>
      <w:r w:rsidR="0014444C" w:rsidRPr="00E676B2">
        <w:rPr>
          <w:szCs w:val="24"/>
        </w:rPr>
        <w:t xml:space="preserve">  </w:t>
      </w:r>
    </w:p>
    <w:p w14:paraId="46B8C7AB" w14:textId="77777777" w:rsidR="0047080B" w:rsidRPr="00E676B2" w:rsidRDefault="0047080B" w:rsidP="00124D59">
      <w:pPr>
        <w:rPr>
          <w:i/>
          <w:sz w:val="22"/>
          <w:szCs w:val="22"/>
        </w:rPr>
      </w:pPr>
    </w:p>
    <w:p w14:paraId="39D0CDA7" w14:textId="285FCB1F" w:rsidR="0047080B" w:rsidRPr="00E676B2" w:rsidRDefault="002F2FE9" w:rsidP="00124D59">
      <w:pPr>
        <w:rPr>
          <w:szCs w:val="24"/>
        </w:rPr>
      </w:pPr>
      <w:r>
        <w:rPr>
          <w:szCs w:val="24"/>
        </w:rPr>
        <w:t>10</w:t>
      </w:r>
      <w:r w:rsidR="0096515F" w:rsidRPr="00E676B2">
        <w:rPr>
          <w:szCs w:val="24"/>
        </w:rPr>
        <w:t>.5</w:t>
      </w:r>
      <w:r w:rsidR="0096515F" w:rsidRPr="00E676B2">
        <w:rPr>
          <w:szCs w:val="24"/>
        </w:rPr>
        <w:tab/>
      </w:r>
      <w:r w:rsidR="0047080B" w:rsidRPr="00E676B2">
        <w:rPr>
          <w:szCs w:val="24"/>
        </w:rPr>
        <w:t xml:space="preserve">The </w:t>
      </w:r>
      <w:r w:rsidR="00A87274" w:rsidRPr="00E676B2">
        <w:rPr>
          <w:szCs w:val="24"/>
        </w:rPr>
        <w:t xml:space="preserve">eight headteacher groups and pay ranges </w:t>
      </w:r>
      <w:r w:rsidR="0047080B" w:rsidRPr="00E676B2">
        <w:rPr>
          <w:szCs w:val="24"/>
        </w:rPr>
        <w:t>are:</w:t>
      </w:r>
    </w:p>
    <w:p w14:paraId="1A6E540A" w14:textId="77777777" w:rsidR="0096515F" w:rsidRPr="00E676B2" w:rsidRDefault="0096515F" w:rsidP="00124D59">
      <w:pPr>
        <w:rPr>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843"/>
        <w:gridCol w:w="4394"/>
      </w:tblGrid>
      <w:tr w:rsidR="00E676B2" w:rsidRPr="00E676B2" w14:paraId="57D145F8" w14:textId="77777777" w:rsidTr="5BD2FCF6">
        <w:tc>
          <w:tcPr>
            <w:tcW w:w="1701" w:type="dxa"/>
          </w:tcPr>
          <w:p w14:paraId="159ACB58" w14:textId="0963A635" w:rsidR="0047080B" w:rsidRPr="00E676B2" w:rsidRDefault="00EE5CD7" w:rsidP="00124D59">
            <w:pPr>
              <w:rPr>
                <w:rFonts w:eastAsia="Calibri"/>
                <w:b/>
                <w:sz w:val="22"/>
                <w:szCs w:val="24"/>
              </w:rPr>
            </w:pPr>
            <w:r>
              <w:rPr>
                <w:rFonts w:eastAsia="Calibri"/>
                <w:b/>
                <w:sz w:val="22"/>
                <w:szCs w:val="24"/>
              </w:rPr>
              <w:t>Group</w:t>
            </w:r>
          </w:p>
        </w:tc>
        <w:tc>
          <w:tcPr>
            <w:tcW w:w="1843" w:type="dxa"/>
          </w:tcPr>
          <w:p w14:paraId="6E779BEC" w14:textId="77777777" w:rsidR="0047080B" w:rsidRPr="00E676B2" w:rsidRDefault="0047080B" w:rsidP="00124D59">
            <w:pPr>
              <w:rPr>
                <w:rFonts w:eastAsia="Calibri"/>
                <w:b/>
                <w:sz w:val="22"/>
                <w:szCs w:val="24"/>
              </w:rPr>
            </w:pPr>
            <w:r w:rsidRPr="00E676B2">
              <w:rPr>
                <w:rFonts w:eastAsia="Calibri"/>
                <w:b/>
                <w:sz w:val="22"/>
                <w:szCs w:val="24"/>
              </w:rPr>
              <w:t>Points</w:t>
            </w:r>
          </w:p>
        </w:tc>
        <w:tc>
          <w:tcPr>
            <w:tcW w:w="4394" w:type="dxa"/>
          </w:tcPr>
          <w:p w14:paraId="7DA5AC55" w14:textId="77777777" w:rsidR="0047080B" w:rsidRPr="00E676B2" w:rsidRDefault="0047080B" w:rsidP="00124D59">
            <w:pPr>
              <w:rPr>
                <w:rFonts w:eastAsia="Calibri"/>
                <w:b/>
                <w:sz w:val="22"/>
                <w:szCs w:val="24"/>
              </w:rPr>
            </w:pPr>
            <w:r w:rsidRPr="00E676B2">
              <w:rPr>
                <w:rFonts w:eastAsia="Calibri"/>
                <w:b/>
                <w:sz w:val="22"/>
                <w:szCs w:val="24"/>
              </w:rPr>
              <w:t>Salary Range</w:t>
            </w:r>
          </w:p>
        </w:tc>
      </w:tr>
      <w:tr w:rsidR="00E676B2" w:rsidRPr="00E676B2" w14:paraId="1C985F84" w14:textId="77777777" w:rsidTr="5BD2FCF6">
        <w:tc>
          <w:tcPr>
            <w:tcW w:w="1701" w:type="dxa"/>
          </w:tcPr>
          <w:p w14:paraId="12761622" w14:textId="77777777" w:rsidR="0047080B" w:rsidRPr="00E676B2" w:rsidRDefault="0047080B" w:rsidP="00124D59">
            <w:pPr>
              <w:rPr>
                <w:rFonts w:eastAsia="Calibri"/>
                <w:sz w:val="22"/>
                <w:szCs w:val="24"/>
              </w:rPr>
            </w:pPr>
            <w:r w:rsidRPr="00E676B2">
              <w:rPr>
                <w:rFonts w:eastAsia="Calibri"/>
                <w:sz w:val="22"/>
                <w:szCs w:val="24"/>
              </w:rPr>
              <w:t>1</w:t>
            </w:r>
          </w:p>
        </w:tc>
        <w:tc>
          <w:tcPr>
            <w:tcW w:w="1843" w:type="dxa"/>
          </w:tcPr>
          <w:p w14:paraId="573BE46D" w14:textId="77777777" w:rsidR="0047080B" w:rsidRPr="00E676B2" w:rsidRDefault="0047080B" w:rsidP="00124D59">
            <w:pPr>
              <w:rPr>
                <w:rFonts w:eastAsia="Calibri"/>
                <w:sz w:val="22"/>
                <w:szCs w:val="24"/>
              </w:rPr>
            </w:pPr>
            <w:r w:rsidRPr="00E676B2">
              <w:rPr>
                <w:rFonts w:eastAsia="Calibri"/>
                <w:sz w:val="22"/>
                <w:szCs w:val="24"/>
              </w:rPr>
              <w:t>6 – 18*</w:t>
            </w:r>
          </w:p>
        </w:tc>
        <w:tc>
          <w:tcPr>
            <w:tcW w:w="4394" w:type="dxa"/>
          </w:tcPr>
          <w:p w14:paraId="2FB70DC7" w14:textId="0574B80F" w:rsidR="0047080B" w:rsidRPr="00964A76" w:rsidRDefault="00F371B5" w:rsidP="5BD2FCF6">
            <w:pPr>
              <w:rPr>
                <w:rFonts w:eastAsia="Calibri"/>
                <w:sz w:val="22"/>
                <w:szCs w:val="22"/>
              </w:rPr>
            </w:pPr>
            <w:r w:rsidRPr="5BD2FCF6">
              <w:rPr>
                <w:rFonts w:eastAsia="Calibri"/>
                <w:sz w:val="22"/>
                <w:szCs w:val="22"/>
              </w:rPr>
              <w:t>£</w:t>
            </w:r>
            <w:r w:rsidR="2575FE1C" w:rsidRPr="5BD2FCF6">
              <w:rPr>
                <w:rFonts w:eastAsia="Calibri"/>
                <w:sz w:val="22"/>
                <w:szCs w:val="22"/>
              </w:rPr>
              <w:t>58,569 - £77,924</w:t>
            </w:r>
          </w:p>
        </w:tc>
      </w:tr>
      <w:tr w:rsidR="00E676B2" w:rsidRPr="00E676B2" w14:paraId="3D9074C8" w14:textId="77777777" w:rsidTr="5BD2FCF6">
        <w:tc>
          <w:tcPr>
            <w:tcW w:w="1701" w:type="dxa"/>
          </w:tcPr>
          <w:p w14:paraId="1C9504BA" w14:textId="77777777" w:rsidR="0047080B" w:rsidRPr="00E676B2" w:rsidRDefault="0047080B" w:rsidP="00124D59">
            <w:pPr>
              <w:rPr>
                <w:rFonts w:eastAsia="Calibri"/>
                <w:sz w:val="22"/>
                <w:szCs w:val="24"/>
              </w:rPr>
            </w:pPr>
            <w:r w:rsidRPr="00E676B2">
              <w:rPr>
                <w:rFonts w:eastAsia="Calibri"/>
                <w:sz w:val="22"/>
                <w:szCs w:val="24"/>
              </w:rPr>
              <w:t>2</w:t>
            </w:r>
          </w:p>
        </w:tc>
        <w:tc>
          <w:tcPr>
            <w:tcW w:w="1843" w:type="dxa"/>
          </w:tcPr>
          <w:p w14:paraId="1BE308C6" w14:textId="77777777" w:rsidR="0047080B" w:rsidRPr="00E676B2" w:rsidRDefault="0047080B" w:rsidP="00124D59">
            <w:pPr>
              <w:rPr>
                <w:rFonts w:eastAsia="Calibri"/>
                <w:sz w:val="22"/>
                <w:szCs w:val="24"/>
              </w:rPr>
            </w:pPr>
            <w:r w:rsidRPr="00E676B2">
              <w:rPr>
                <w:rFonts w:eastAsia="Calibri"/>
                <w:sz w:val="22"/>
                <w:szCs w:val="24"/>
              </w:rPr>
              <w:t>8 – 21*</w:t>
            </w:r>
          </w:p>
        </w:tc>
        <w:tc>
          <w:tcPr>
            <w:tcW w:w="4394" w:type="dxa"/>
          </w:tcPr>
          <w:p w14:paraId="6FD4460E" w14:textId="5817D0B5" w:rsidR="0047080B" w:rsidRPr="00964A76" w:rsidRDefault="00F371B5" w:rsidP="5BD2FCF6">
            <w:pPr>
              <w:rPr>
                <w:rFonts w:eastAsia="Calibri"/>
                <w:sz w:val="22"/>
                <w:szCs w:val="22"/>
              </w:rPr>
            </w:pPr>
            <w:r w:rsidRPr="5BD2FCF6">
              <w:rPr>
                <w:rFonts w:eastAsia="Calibri"/>
                <w:sz w:val="22"/>
                <w:szCs w:val="22"/>
              </w:rPr>
              <w:t>£</w:t>
            </w:r>
            <w:r w:rsidR="73C837AF" w:rsidRPr="5BD2FCF6">
              <w:rPr>
                <w:rFonts w:eastAsia="Calibri"/>
                <w:sz w:val="22"/>
                <w:szCs w:val="22"/>
              </w:rPr>
              <w:t>61,534 - £83,860</w:t>
            </w:r>
          </w:p>
        </w:tc>
      </w:tr>
      <w:tr w:rsidR="00E676B2" w:rsidRPr="00E676B2" w14:paraId="22D1BBF9" w14:textId="77777777" w:rsidTr="5BD2FCF6">
        <w:tc>
          <w:tcPr>
            <w:tcW w:w="1701" w:type="dxa"/>
          </w:tcPr>
          <w:p w14:paraId="69DCF37F" w14:textId="77777777" w:rsidR="0047080B" w:rsidRPr="00E676B2" w:rsidRDefault="0047080B" w:rsidP="00124D59">
            <w:pPr>
              <w:rPr>
                <w:rFonts w:eastAsia="Calibri"/>
                <w:sz w:val="22"/>
                <w:szCs w:val="24"/>
              </w:rPr>
            </w:pPr>
            <w:r w:rsidRPr="00E676B2">
              <w:rPr>
                <w:rFonts w:eastAsia="Calibri"/>
                <w:sz w:val="22"/>
                <w:szCs w:val="24"/>
              </w:rPr>
              <w:t>3</w:t>
            </w:r>
          </w:p>
        </w:tc>
        <w:tc>
          <w:tcPr>
            <w:tcW w:w="1843" w:type="dxa"/>
          </w:tcPr>
          <w:p w14:paraId="5C763CFB" w14:textId="77777777" w:rsidR="0047080B" w:rsidRPr="00E676B2" w:rsidRDefault="0047080B" w:rsidP="00124D59">
            <w:pPr>
              <w:rPr>
                <w:rFonts w:eastAsia="Calibri"/>
                <w:sz w:val="22"/>
                <w:szCs w:val="24"/>
              </w:rPr>
            </w:pPr>
            <w:r w:rsidRPr="00E676B2">
              <w:rPr>
                <w:rFonts w:eastAsia="Calibri"/>
                <w:sz w:val="22"/>
                <w:szCs w:val="24"/>
              </w:rPr>
              <w:t>11 – 24*</w:t>
            </w:r>
          </w:p>
        </w:tc>
        <w:tc>
          <w:tcPr>
            <w:tcW w:w="4394" w:type="dxa"/>
          </w:tcPr>
          <w:p w14:paraId="3F0E4DF6" w14:textId="154BC91E" w:rsidR="0047080B" w:rsidRPr="00964A76" w:rsidRDefault="00F371B5" w:rsidP="5BD2FCF6">
            <w:pPr>
              <w:spacing w:line="259" w:lineRule="auto"/>
              <w:rPr>
                <w:rFonts w:eastAsia="Calibri"/>
                <w:sz w:val="22"/>
                <w:szCs w:val="22"/>
              </w:rPr>
            </w:pPr>
            <w:r w:rsidRPr="5BD2FCF6">
              <w:rPr>
                <w:rFonts w:eastAsia="Calibri"/>
                <w:sz w:val="22"/>
                <w:szCs w:val="22"/>
              </w:rPr>
              <w:t>£</w:t>
            </w:r>
            <w:r w:rsidR="2FDA712A" w:rsidRPr="5BD2FCF6">
              <w:rPr>
                <w:rFonts w:eastAsia="Calibri"/>
                <w:sz w:val="22"/>
                <w:szCs w:val="22"/>
              </w:rPr>
              <w:t>66,386 - £90,255</w:t>
            </w:r>
          </w:p>
        </w:tc>
      </w:tr>
      <w:tr w:rsidR="00E676B2" w:rsidRPr="00E676B2" w14:paraId="152E91E7" w14:textId="77777777" w:rsidTr="5BD2FCF6">
        <w:tc>
          <w:tcPr>
            <w:tcW w:w="1701" w:type="dxa"/>
          </w:tcPr>
          <w:p w14:paraId="6324FE9F" w14:textId="77777777" w:rsidR="0047080B" w:rsidRPr="00E676B2" w:rsidRDefault="0047080B" w:rsidP="00124D59">
            <w:pPr>
              <w:rPr>
                <w:rFonts w:eastAsia="Calibri"/>
                <w:sz w:val="22"/>
                <w:szCs w:val="24"/>
              </w:rPr>
            </w:pPr>
            <w:r w:rsidRPr="00E676B2">
              <w:rPr>
                <w:rFonts w:eastAsia="Calibri"/>
                <w:sz w:val="22"/>
                <w:szCs w:val="24"/>
              </w:rPr>
              <w:lastRenderedPageBreak/>
              <w:t>4</w:t>
            </w:r>
          </w:p>
        </w:tc>
        <w:tc>
          <w:tcPr>
            <w:tcW w:w="1843" w:type="dxa"/>
          </w:tcPr>
          <w:p w14:paraId="1D48F853" w14:textId="77777777" w:rsidR="0047080B" w:rsidRPr="00E676B2" w:rsidRDefault="0047080B" w:rsidP="00124D59">
            <w:pPr>
              <w:rPr>
                <w:rFonts w:eastAsia="Calibri"/>
                <w:sz w:val="22"/>
                <w:szCs w:val="24"/>
              </w:rPr>
            </w:pPr>
            <w:r w:rsidRPr="00E676B2">
              <w:rPr>
                <w:rFonts w:eastAsia="Calibri"/>
                <w:sz w:val="22"/>
                <w:szCs w:val="24"/>
              </w:rPr>
              <w:t>14 – 27*</w:t>
            </w:r>
          </w:p>
        </w:tc>
        <w:tc>
          <w:tcPr>
            <w:tcW w:w="4394" w:type="dxa"/>
          </w:tcPr>
          <w:p w14:paraId="136B4479" w14:textId="42D75925" w:rsidR="0047080B" w:rsidRPr="00964A76" w:rsidRDefault="00F371B5" w:rsidP="5BD2FCF6">
            <w:pPr>
              <w:rPr>
                <w:rFonts w:eastAsia="Calibri"/>
                <w:sz w:val="22"/>
                <w:szCs w:val="22"/>
              </w:rPr>
            </w:pPr>
            <w:r w:rsidRPr="5BD2FCF6">
              <w:rPr>
                <w:rFonts w:eastAsia="Calibri"/>
                <w:sz w:val="22"/>
                <w:szCs w:val="22"/>
              </w:rPr>
              <w:t>£</w:t>
            </w:r>
            <w:r w:rsidR="4E125F17" w:rsidRPr="5BD2FCF6">
              <w:rPr>
                <w:rFonts w:eastAsia="Calibri"/>
                <w:sz w:val="22"/>
                <w:szCs w:val="22"/>
              </w:rPr>
              <w:t>71,330 - £97,136</w:t>
            </w:r>
          </w:p>
        </w:tc>
      </w:tr>
      <w:tr w:rsidR="00E676B2" w:rsidRPr="00E676B2" w14:paraId="5EFD3C04" w14:textId="77777777" w:rsidTr="5BD2FCF6">
        <w:tc>
          <w:tcPr>
            <w:tcW w:w="1701" w:type="dxa"/>
          </w:tcPr>
          <w:p w14:paraId="36A00A62" w14:textId="77777777" w:rsidR="0047080B" w:rsidRPr="00E676B2" w:rsidRDefault="0047080B" w:rsidP="00124D59">
            <w:pPr>
              <w:rPr>
                <w:rFonts w:eastAsia="Calibri"/>
                <w:sz w:val="22"/>
                <w:szCs w:val="24"/>
              </w:rPr>
            </w:pPr>
            <w:r w:rsidRPr="00E676B2">
              <w:rPr>
                <w:rFonts w:eastAsia="Calibri"/>
                <w:sz w:val="22"/>
                <w:szCs w:val="24"/>
              </w:rPr>
              <w:t>5</w:t>
            </w:r>
          </w:p>
        </w:tc>
        <w:tc>
          <w:tcPr>
            <w:tcW w:w="1843" w:type="dxa"/>
          </w:tcPr>
          <w:p w14:paraId="34BB25AC" w14:textId="77777777" w:rsidR="0047080B" w:rsidRPr="00E676B2" w:rsidRDefault="0047080B" w:rsidP="00124D59">
            <w:pPr>
              <w:rPr>
                <w:rFonts w:eastAsia="Calibri"/>
                <w:sz w:val="22"/>
                <w:szCs w:val="24"/>
              </w:rPr>
            </w:pPr>
            <w:r w:rsidRPr="00E676B2">
              <w:rPr>
                <w:rFonts w:eastAsia="Calibri"/>
                <w:sz w:val="22"/>
                <w:szCs w:val="24"/>
              </w:rPr>
              <w:t>18 – 31*</w:t>
            </w:r>
          </w:p>
        </w:tc>
        <w:tc>
          <w:tcPr>
            <w:tcW w:w="4394" w:type="dxa"/>
          </w:tcPr>
          <w:p w14:paraId="0AA109AF" w14:textId="31895FE7" w:rsidR="0047080B" w:rsidRPr="00964A76" w:rsidRDefault="00F371B5" w:rsidP="5BD2FCF6">
            <w:pPr>
              <w:rPr>
                <w:rFonts w:eastAsia="Calibri"/>
                <w:sz w:val="22"/>
                <w:szCs w:val="22"/>
              </w:rPr>
            </w:pPr>
            <w:r w:rsidRPr="5BD2FCF6">
              <w:rPr>
                <w:rFonts w:eastAsia="Calibri"/>
                <w:sz w:val="22"/>
                <w:szCs w:val="22"/>
              </w:rPr>
              <w:t>£</w:t>
            </w:r>
            <w:r w:rsidR="69E3ABE3" w:rsidRPr="5BD2FCF6">
              <w:rPr>
                <w:rFonts w:eastAsia="Calibri"/>
                <w:sz w:val="22"/>
                <w:szCs w:val="22"/>
              </w:rPr>
              <w:t>78,702 - £107,131</w:t>
            </w:r>
          </w:p>
        </w:tc>
      </w:tr>
      <w:tr w:rsidR="00E676B2" w:rsidRPr="00E676B2" w14:paraId="7DDD4A62" w14:textId="77777777" w:rsidTr="5BD2FCF6">
        <w:tc>
          <w:tcPr>
            <w:tcW w:w="1701" w:type="dxa"/>
          </w:tcPr>
          <w:p w14:paraId="33F43D32" w14:textId="77777777" w:rsidR="0047080B" w:rsidRPr="00E676B2" w:rsidRDefault="0047080B" w:rsidP="00124D59">
            <w:pPr>
              <w:rPr>
                <w:rFonts w:eastAsia="Calibri"/>
                <w:sz w:val="22"/>
                <w:szCs w:val="24"/>
              </w:rPr>
            </w:pPr>
            <w:r w:rsidRPr="00E676B2">
              <w:rPr>
                <w:rFonts w:eastAsia="Calibri"/>
                <w:sz w:val="22"/>
                <w:szCs w:val="24"/>
              </w:rPr>
              <w:t>6</w:t>
            </w:r>
          </w:p>
        </w:tc>
        <w:tc>
          <w:tcPr>
            <w:tcW w:w="1843" w:type="dxa"/>
          </w:tcPr>
          <w:p w14:paraId="3BDC758A" w14:textId="77777777" w:rsidR="0047080B" w:rsidRPr="00E676B2" w:rsidRDefault="0047080B" w:rsidP="00124D59">
            <w:pPr>
              <w:rPr>
                <w:rFonts w:eastAsia="Calibri"/>
                <w:sz w:val="22"/>
                <w:szCs w:val="24"/>
              </w:rPr>
            </w:pPr>
            <w:r w:rsidRPr="00E676B2">
              <w:rPr>
                <w:rFonts w:eastAsia="Calibri"/>
                <w:sz w:val="22"/>
                <w:szCs w:val="24"/>
              </w:rPr>
              <w:t>21 – 35*</w:t>
            </w:r>
          </w:p>
        </w:tc>
        <w:tc>
          <w:tcPr>
            <w:tcW w:w="4394" w:type="dxa"/>
          </w:tcPr>
          <w:p w14:paraId="139608D3" w14:textId="70A3DA00" w:rsidR="0047080B" w:rsidRPr="00964A76" w:rsidRDefault="00F371B5" w:rsidP="5BD2FCF6">
            <w:pPr>
              <w:rPr>
                <w:sz w:val="22"/>
                <w:szCs w:val="22"/>
              </w:rPr>
            </w:pPr>
            <w:r w:rsidRPr="5BD2FCF6">
              <w:rPr>
                <w:rFonts w:eastAsia="Calibri"/>
                <w:sz w:val="22"/>
                <w:szCs w:val="22"/>
              </w:rPr>
              <w:t>£</w:t>
            </w:r>
            <w:r w:rsidR="01FDBE93" w:rsidRPr="5BD2FCF6">
              <w:rPr>
                <w:sz w:val="22"/>
                <w:szCs w:val="22"/>
              </w:rPr>
              <w:t>8</w:t>
            </w:r>
            <w:r w:rsidR="76FE1739" w:rsidRPr="5BD2FCF6">
              <w:rPr>
                <w:sz w:val="22"/>
                <w:szCs w:val="22"/>
              </w:rPr>
              <w:t>4,699 - £118,169</w:t>
            </w:r>
          </w:p>
        </w:tc>
      </w:tr>
      <w:tr w:rsidR="00E676B2" w:rsidRPr="00E676B2" w14:paraId="5D9103C0" w14:textId="77777777" w:rsidTr="5BD2FCF6">
        <w:tc>
          <w:tcPr>
            <w:tcW w:w="1701" w:type="dxa"/>
          </w:tcPr>
          <w:p w14:paraId="2D7B9999" w14:textId="77777777" w:rsidR="0047080B" w:rsidRPr="00E676B2" w:rsidRDefault="0047080B" w:rsidP="00124D59">
            <w:pPr>
              <w:rPr>
                <w:rFonts w:eastAsia="Calibri"/>
                <w:sz w:val="22"/>
                <w:szCs w:val="24"/>
              </w:rPr>
            </w:pPr>
            <w:r w:rsidRPr="00E676B2">
              <w:rPr>
                <w:rFonts w:eastAsia="Calibri"/>
                <w:sz w:val="22"/>
                <w:szCs w:val="24"/>
              </w:rPr>
              <w:t>7</w:t>
            </w:r>
          </w:p>
        </w:tc>
        <w:tc>
          <w:tcPr>
            <w:tcW w:w="1843" w:type="dxa"/>
          </w:tcPr>
          <w:p w14:paraId="79C05021" w14:textId="77777777" w:rsidR="0047080B" w:rsidRPr="00E676B2" w:rsidRDefault="0047080B" w:rsidP="00124D59">
            <w:pPr>
              <w:rPr>
                <w:rFonts w:eastAsia="Calibri"/>
                <w:sz w:val="22"/>
                <w:szCs w:val="24"/>
              </w:rPr>
            </w:pPr>
            <w:r w:rsidRPr="00E676B2">
              <w:rPr>
                <w:rFonts w:eastAsia="Calibri"/>
                <w:sz w:val="22"/>
                <w:szCs w:val="24"/>
              </w:rPr>
              <w:t>24 – 39*</w:t>
            </w:r>
          </w:p>
        </w:tc>
        <w:tc>
          <w:tcPr>
            <w:tcW w:w="4394" w:type="dxa"/>
          </w:tcPr>
          <w:p w14:paraId="61CF021D" w14:textId="15B872F6" w:rsidR="0047080B" w:rsidRPr="00964A76" w:rsidRDefault="00F371B5" w:rsidP="5BD2FCF6">
            <w:pPr>
              <w:rPr>
                <w:rFonts w:eastAsia="Calibri"/>
                <w:sz w:val="22"/>
                <w:szCs w:val="22"/>
              </w:rPr>
            </w:pPr>
            <w:r w:rsidRPr="5BD2FCF6">
              <w:rPr>
                <w:rFonts w:eastAsia="Calibri"/>
                <w:sz w:val="22"/>
                <w:szCs w:val="22"/>
              </w:rPr>
              <w:t>£</w:t>
            </w:r>
            <w:r w:rsidR="1BAA975A" w:rsidRPr="5BD2FCF6">
              <w:rPr>
                <w:rFonts w:eastAsia="Calibri"/>
                <w:sz w:val="22"/>
                <w:szCs w:val="22"/>
              </w:rPr>
              <w:t>91,158 - £130,274</w:t>
            </w:r>
          </w:p>
        </w:tc>
      </w:tr>
      <w:tr w:rsidR="00E676B2" w:rsidRPr="00E676B2" w14:paraId="22C66434" w14:textId="77777777" w:rsidTr="5BD2FCF6">
        <w:tc>
          <w:tcPr>
            <w:tcW w:w="1701" w:type="dxa"/>
          </w:tcPr>
          <w:p w14:paraId="1F49C833" w14:textId="77777777" w:rsidR="0047080B" w:rsidRPr="00E676B2" w:rsidRDefault="0047080B" w:rsidP="00124D59">
            <w:pPr>
              <w:rPr>
                <w:rFonts w:eastAsia="Calibri"/>
                <w:sz w:val="22"/>
                <w:szCs w:val="24"/>
              </w:rPr>
            </w:pPr>
            <w:r w:rsidRPr="00E676B2">
              <w:rPr>
                <w:rFonts w:eastAsia="Calibri"/>
                <w:sz w:val="22"/>
                <w:szCs w:val="24"/>
              </w:rPr>
              <w:t>8</w:t>
            </w:r>
          </w:p>
        </w:tc>
        <w:tc>
          <w:tcPr>
            <w:tcW w:w="1843" w:type="dxa"/>
          </w:tcPr>
          <w:p w14:paraId="6C921222" w14:textId="77777777" w:rsidR="0047080B" w:rsidRPr="00E676B2" w:rsidRDefault="0047080B" w:rsidP="00124D59">
            <w:pPr>
              <w:rPr>
                <w:rFonts w:eastAsia="Calibri"/>
                <w:sz w:val="22"/>
                <w:szCs w:val="24"/>
              </w:rPr>
            </w:pPr>
            <w:r w:rsidRPr="00E676B2">
              <w:rPr>
                <w:rFonts w:eastAsia="Calibri"/>
                <w:sz w:val="22"/>
                <w:szCs w:val="24"/>
              </w:rPr>
              <w:t>28 – 43</w:t>
            </w:r>
          </w:p>
        </w:tc>
        <w:tc>
          <w:tcPr>
            <w:tcW w:w="4394" w:type="dxa"/>
          </w:tcPr>
          <w:p w14:paraId="3ACE98BD" w14:textId="33ED5A0A" w:rsidR="0047080B" w:rsidRPr="00964A76" w:rsidRDefault="00F371B5" w:rsidP="5BD2FCF6">
            <w:pPr>
              <w:rPr>
                <w:rFonts w:eastAsia="Calibri"/>
                <w:sz w:val="22"/>
                <w:szCs w:val="22"/>
              </w:rPr>
            </w:pPr>
            <w:r w:rsidRPr="5BD2FCF6">
              <w:rPr>
                <w:rFonts w:eastAsia="Calibri"/>
                <w:sz w:val="22"/>
                <w:szCs w:val="22"/>
              </w:rPr>
              <w:t>£</w:t>
            </w:r>
            <w:r w:rsidR="1CA63F32" w:rsidRPr="5BD2FCF6">
              <w:rPr>
                <w:rFonts w:eastAsia="Calibri"/>
                <w:sz w:val="22"/>
                <w:szCs w:val="22"/>
              </w:rPr>
              <w:t>100,540 - £143,796</w:t>
            </w:r>
          </w:p>
        </w:tc>
      </w:tr>
    </w:tbl>
    <w:p w14:paraId="2FFED4B1" w14:textId="77777777" w:rsidR="0047080B" w:rsidRPr="00AD4B38" w:rsidRDefault="0047080B" w:rsidP="00124D59">
      <w:pPr>
        <w:rPr>
          <w:szCs w:val="24"/>
        </w:rPr>
      </w:pPr>
    </w:p>
    <w:p w14:paraId="07E06D88" w14:textId="5EF2D80C" w:rsidR="005D6E7D" w:rsidRPr="00AD4B38" w:rsidRDefault="002F2FE9" w:rsidP="005D6E7D">
      <w:pPr>
        <w:ind w:left="720" w:hanging="720"/>
      </w:pPr>
      <w:r w:rsidRPr="00AD4B38">
        <w:t>10</w:t>
      </w:r>
      <w:r w:rsidR="005D6E7D" w:rsidRPr="00AD4B38">
        <w:t>.6</w:t>
      </w:r>
      <w:r w:rsidR="005D6E7D" w:rsidRPr="00AD4B38">
        <w:rPr>
          <w:szCs w:val="24"/>
        </w:rPr>
        <w:tab/>
      </w:r>
      <w:bookmarkStart w:id="18" w:name="GroupSize"/>
      <w:r w:rsidR="005D6E7D" w:rsidRPr="00AD4B38">
        <w:t>T</w:t>
      </w:r>
      <w:r w:rsidR="005D6E7D" w:rsidRPr="00AD4B38">
        <w:rPr>
          <w:shd w:val="clear" w:color="auto" w:fill="FFFFFF"/>
        </w:rPr>
        <w:t xml:space="preserve">he governing board has determined the Headteacher group of the school to be Group </w:t>
      </w:r>
      <w:r w:rsidR="00AD4B38" w:rsidRPr="00AD4B38">
        <w:rPr>
          <w:shd w:val="clear" w:color="auto" w:fill="FFFFFF"/>
        </w:rPr>
        <w:t xml:space="preserve">6 </w:t>
      </w:r>
      <w:r w:rsidR="257FD969" w:rsidRPr="00AD4B38">
        <w:rPr>
          <w:shd w:val="clear" w:color="auto" w:fill="FFFFFF"/>
        </w:rPr>
        <w:t>in line with the STPCD</w:t>
      </w:r>
      <w:r w:rsidR="005D6E7D" w:rsidRPr="00AD4B38">
        <w:t xml:space="preserve">. </w:t>
      </w:r>
      <w:bookmarkEnd w:id="18"/>
    </w:p>
    <w:p w14:paraId="41E39658" w14:textId="77777777" w:rsidR="005D6E7D" w:rsidRPr="0047080B" w:rsidRDefault="005D6E7D" w:rsidP="00124D59">
      <w:pPr>
        <w:rPr>
          <w:szCs w:val="24"/>
        </w:rPr>
      </w:pPr>
    </w:p>
    <w:p w14:paraId="5E324DCF" w14:textId="7112C8CB" w:rsidR="0047080B" w:rsidRPr="006353DC" w:rsidRDefault="002F2FE9" w:rsidP="585CE774">
      <w:pPr>
        <w:ind w:left="720" w:hanging="720"/>
      </w:pPr>
      <w:r>
        <w:t>10</w:t>
      </w:r>
      <w:r w:rsidR="0096515F">
        <w:t>.</w:t>
      </w:r>
      <w:r w:rsidR="005D6E7D">
        <w:t>7</w:t>
      </w:r>
      <w:r w:rsidR="00DD1528">
        <w:tab/>
      </w:r>
      <w:r w:rsidR="0047080B">
        <w:t xml:space="preserve">Given that </w:t>
      </w:r>
      <w:r w:rsidR="00EE5CD7">
        <w:t>Headteacher</w:t>
      </w:r>
      <w:r w:rsidR="0047080B">
        <w:t xml:space="preserve"> Group 1 starts above the minimum of the </w:t>
      </w:r>
      <w:r w:rsidR="006353DC">
        <w:t>leadership</w:t>
      </w:r>
      <w:r w:rsidR="006B2A59">
        <w:t xml:space="preserve"> pay</w:t>
      </w:r>
      <w:r w:rsidR="006353DC">
        <w:t xml:space="preserve"> </w:t>
      </w:r>
      <w:r w:rsidR="0047080B">
        <w:t>range, points 1-5 will only be used for Deputy and Assistant Headteachers.</w:t>
      </w:r>
      <w:r w:rsidR="00CA2AE2">
        <w:t xml:space="preserve"> </w:t>
      </w:r>
      <w:r w:rsidR="00DD1528">
        <w:t>The maximum of the deputy or assistant headteacher’s pay range must not exceed the maximum of the headteacher group for the school. The pay range for a deputy or assistant headteacher should only overlap the headteacher’s pay range in exceptional circumstances</w:t>
      </w:r>
    </w:p>
    <w:p w14:paraId="706AB513" w14:textId="77777777" w:rsidR="00DD13D8" w:rsidRDefault="00DD13D8" w:rsidP="585CE774">
      <w:pPr>
        <w:ind w:left="720" w:hanging="720"/>
      </w:pPr>
    </w:p>
    <w:p w14:paraId="5BD184D6" w14:textId="477F8429" w:rsidR="00DD13D8" w:rsidRPr="00856621" w:rsidRDefault="002F2FE9" w:rsidP="585CE774">
      <w:pPr>
        <w:ind w:left="720" w:hanging="720"/>
      </w:pPr>
      <w:r>
        <w:t>10</w:t>
      </w:r>
      <w:r w:rsidR="00CA2AE2">
        <w:t>.8</w:t>
      </w:r>
      <w:r w:rsidR="00CA2AE2">
        <w:tab/>
      </w:r>
      <w:r w:rsidR="00DD13D8">
        <w:t xml:space="preserve">Pay ranges for headteachers should not normally exceed the maximum of the headteacher group. However, the headteacher’s pay range may exceed the maximum where the </w:t>
      </w:r>
      <w:r w:rsidR="00061F47">
        <w:t>Governing Board</w:t>
      </w:r>
      <w:r w:rsidR="00DD13D8">
        <w:t xml:space="preserve"> determines that circumstances specific to the role or candidate warrant a </w:t>
      </w:r>
      <w:proofErr w:type="gramStart"/>
      <w:r w:rsidR="00DD13D8">
        <w:t>higher than normal</w:t>
      </w:r>
      <w:proofErr w:type="gramEnd"/>
      <w:r w:rsidR="00DD13D8">
        <w:t xml:space="preserve"> payment. The </w:t>
      </w:r>
      <w:r w:rsidR="00061F47">
        <w:t>Governing Board</w:t>
      </w:r>
      <w:r w:rsidR="00DD13D8">
        <w:t xml:space="preserve"> must ensure that the maximum of the headteacher’s pay range and any additional payments does not exceed the maximum of the headteacher group by more than 25% other than in exceptional circumstances; in such circumstances, the governing bo</w:t>
      </w:r>
      <w:r w:rsidR="00CA2AE2">
        <w:t xml:space="preserve">ard </w:t>
      </w:r>
      <w:r w:rsidR="00DD13D8">
        <w:t>must seek external independent advice before providing such agreement and support its decision with a business case</w:t>
      </w:r>
      <w:r w:rsidR="007903BC">
        <w:t xml:space="preserve"> and seek advice from their HR provider</w:t>
      </w:r>
      <w:r w:rsidR="00DD13D8">
        <w:t>.</w:t>
      </w:r>
    </w:p>
    <w:p w14:paraId="20D9A7CA" w14:textId="77777777" w:rsidR="00041A37" w:rsidRPr="00856621" w:rsidRDefault="00041A37" w:rsidP="585CE774">
      <w:pPr>
        <w:ind w:left="720" w:hanging="720"/>
      </w:pPr>
    </w:p>
    <w:p w14:paraId="640A2BEC" w14:textId="40461326" w:rsidR="000154C7" w:rsidRPr="00856621" w:rsidRDefault="002F2FE9" w:rsidP="00D36D81">
      <w:pPr>
        <w:ind w:left="720" w:hanging="720"/>
      </w:pPr>
      <w:r>
        <w:t>10</w:t>
      </w:r>
      <w:r w:rsidR="007E3785">
        <w:t>.9</w:t>
      </w:r>
      <w:r w:rsidR="007E3785">
        <w:tab/>
      </w:r>
      <w:r w:rsidR="00406DAF">
        <w:t>The business case must include</w:t>
      </w:r>
      <w:r w:rsidR="000154C7">
        <w:t xml:space="preserve"> justification for the additional payment setting out clearly why this wasn’t considered when determining the pay range for the post, together with information on how the amount was determined.  There must be a clear audit trail</w:t>
      </w:r>
      <w:r w:rsidR="00406DAF">
        <w:t xml:space="preserve"> of</w:t>
      </w:r>
      <w:r w:rsidR="000154C7">
        <w:t xml:space="preserve"> any advice given to the governing board and a full and accurate record of all decisions made by the governing board and the reasoning behind them.</w:t>
      </w:r>
    </w:p>
    <w:p w14:paraId="00BF459E" w14:textId="77777777" w:rsidR="000154C7" w:rsidRDefault="000154C7" w:rsidP="005D6E7D">
      <w:pPr>
        <w:rPr>
          <w:szCs w:val="24"/>
        </w:rPr>
      </w:pPr>
    </w:p>
    <w:p w14:paraId="5E750881" w14:textId="3FEB5DDE" w:rsidR="0014444C" w:rsidRPr="0047080B" w:rsidRDefault="002F2FE9" w:rsidP="0014444C">
      <w:pPr>
        <w:ind w:left="720" w:hanging="720"/>
        <w:rPr>
          <w:szCs w:val="24"/>
        </w:rPr>
      </w:pPr>
      <w:bookmarkStart w:id="19" w:name="Section9"/>
      <w:r>
        <w:rPr>
          <w:szCs w:val="24"/>
        </w:rPr>
        <w:t>10</w:t>
      </w:r>
      <w:r w:rsidR="007E3785">
        <w:rPr>
          <w:szCs w:val="24"/>
        </w:rPr>
        <w:t>.10</w:t>
      </w:r>
      <w:bookmarkEnd w:id="19"/>
      <w:r w:rsidR="0014444C">
        <w:rPr>
          <w:szCs w:val="24"/>
        </w:rPr>
        <w:tab/>
      </w:r>
      <w:r w:rsidR="0014444C" w:rsidRPr="0047080B">
        <w:rPr>
          <w:szCs w:val="24"/>
        </w:rPr>
        <w:t xml:space="preserve">When determining a pay range, the Governing Board will allow at least </w:t>
      </w:r>
      <w:bookmarkStart w:id="20" w:name="prog"/>
      <w:r w:rsidR="00AD4B38">
        <w:rPr>
          <w:szCs w:val="24"/>
        </w:rPr>
        <w:t>5</w:t>
      </w:r>
      <w:r w:rsidR="0014444C" w:rsidRPr="0047080B">
        <w:rPr>
          <w:szCs w:val="24"/>
        </w:rPr>
        <w:t xml:space="preserve"> </w:t>
      </w:r>
      <w:bookmarkEnd w:id="20"/>
      <w:r w:rsidR="0014444C" w:rsidRPr="0047080B">
        <w:rPr>
          <w:szCs w:val="24"/>
        </w:rPr>
        <w:t xml:space="preserve">reference points for performance-related progression. </w:t>
      </w:r>
    </w:p>
    <w:p w14:paraId="4D8441E2" w14:textId="77777777" w:rsidR="00DD1528" w:rsidRDefault="00DD1528" w:rsidP="00DD1528">
      <w:pPr>
        <w:rPr>
          <w:szCs w:val="24"/>
        </w:rPr>
      </w:pPr>
    </w:p>
    <w:p w14:paraId="7B1528A1" w14:textId="0C285457" w:rsidR="00856621" w:rsidRDefault="002F2FE9" w:rsidP="585CE774">
      <w:pPr>
        <w:ind w:left="720" w:hanging="720"/>
      </w:pPr>
      <w:r>
        <w:t>10</w:t>
      </w:r>
      <w:r w:rsidR="007E3785">
        <w:t>.11</w:t>
      </w:r>
      <w:r w:rsidR="00856621">
        <w:tab/>
      </w:r>
      <w:r w:rsidR="005316CF">
        <w:t>In this school the Headteacher pay range will consist of</w:t>
      </w:r>
      <w:r w:rsidR="00AD4B38">
        <w:t xml:space="preserve"> 6 </w:t>
      </w:r>
      <w:r w:rsidR="005316CF">
        <w:t>and the pay range for the Deputy Headteacher and A</w:t>
      </w:r>
      <w:r w:rsidR="005509B4">
        <w:t xml:space="preserve">ssistant Headteacher will consist of </w:t>
      </w:r>
      <w:r w:rsidR="00AD4B38" w:rsidRPr="00AD4B38">
        <w:t>5</w:t>
      </w:r>
      <w:r w:rsidR="005509B4" w:rsidRPr="00AD4B38">
        <w:t xml:space="preserve"> points.</w:t>
      </w:r>
    </w:p>
    <w:p w14:paraId="1B081550" w14:textId="77777777" w:rsidR="00856621" w:rsidRDefault="00856621" w:rsidP="00DD1528">
      <w:pPr>
        <w:rPr>
          <w:szCs w:val="24"/>
        </w:rPr>
      </w:pPr>
    </w:p>
    <w:p w14:paraId="42F29902" w14:textId="4437B514" w:rsidR="00F56B7E" w:rsidRDefault="002F2FE9" w:rsidP="00DD1528">
      <w:pPr>
        <w:ind w:left="720" w:hanging="720"/>
        <w:rPr>
          <w:szCs w:val="24"/>
        </w:rPr>
      </w:pPr>
      <w:r>
        <w:rPr>
          <w:szCs w:val="24"/>
        </w:rPr>
        <w:t>10</w:t>
      </w:r>
      <w:r w:rsidR="007E3785">
        <w:rPr>
          <w:szCs w:val="24"/>
        </w:rPr>
        <w:t>.12</w:t>
      </w:r>
      <w:r w:rsidR="00DD1528" w:rsidRPr="00CC1633">
        <w:rPr>
          <w:szCs w:val="24"/>
        </w:rPr>
        <w:tab/>
      </w:r>
      <w:r w:rsidR="0014444C" w:rsidRPr="00CC1633">
        <w:rPr>
          <w:szCs w:val="24"/>
        </w:rPr>
        <w:t xml:space="preserve">In this school, the Governing Board will use reference points to determine Leadership Group salaries, these are set out in </w:t>
      </w:r>
      <w:hyperlink w:anchor="LeadPR" w:history="1">
        <w:r w:rsidR="0014444C" w:rsidRPr="00F13744">
          <w:rPr>
            <w:rStyle w:val="Hyperlink"/>
            <w:szCs w:val="24"/>
          </w:rPr>
          <w:t xml:space="preserve">Appendix </w:t>
        </w:r>
        <w:r w:rsidR="00F13744" w:rsidRPr="00F13744">
          <w:rPr>
            <w:rStyle w:val="Hyperlink"/>
            <w:szCs w:val="24"/>
          </w:rPr>
          <w:t>3</w:t>
        </w:r>
      </w:hyperlink>
      <w:r w:rsidR="0014444C" w:rsidRPr="0047080B">
        <w:rPr>
          <w:szCs w:val="24"/>
        </w:rPr>
        <w:t xml:space="preserve">.  </w:t>
      </w:r>
    </w:p>
    <w:p w14:paraId="1FF8DD5A" w14:textId="77777777" w:rsidR="00D01CA3" w:rsidRDefault="00D01CA3" w:rsidP="00F56B7E">
      <w:pPr>
        <w:ind w:left="720" w:hanging="720"/>
        <w:rPr>
          <w:b/>
          <w:szCs w:val="24"/>
        </w:rPr>
      </w:pPr>
    </w:p>
    <w:p w14:paraId="07233295" w14:textId="2D562C15" w:rsidR="00966766" w:rsidRDefault="00966766" w:rsidP="00124D59">
      <w:pPr>
        <w:rPr>
          <w:b/>
          <w:sz w:val="36"/>
          <w:szCs w:val="36"/>
        </w:rPr>
      </w:pPr>
      <w:bookmarkStart w:id="21" w:name="MPR"/>
      <w:r w:rsidRPr="00966766">
        <w:rPr>
          <w:b/>
          <w:sz w:val="36"/>
          <w:szCs w:val="36"/>
        </w:rPr>
        <w:t>1</w:t>
      </w:r>
      <w:r w:rsidR="002F2FE9">
        <w:rPr>
          <w:b/>
          <w:sz w:val="36"/>
          <w:szCs w:val="36"/>
        </w:rPr>
        <w:t>1</w:t>
      </w:r>
      <w:r w:rsidR="0047080B" w:rsidRPr="00966766">
        <w:rPr>
          <w:b/>
          <w:sz w:val="36"/>
          <w:szCs w:val="36"/>
        </w:rPr>
        <w:tab/>
        <w:t>Main Pay Range</w:t>
      </w:r>
      <w:bookmarkEnd w:id="21"/>
    </w:p>
    <w:p w14:paraId="6C5825D7" w14:textId="77777777" w:rsidR="008062C6" w:rsidRPr="00D01519" w:rsidRDefault="008062C6" w:rsidP="00124D59">
      <w:pPr>
        <w:rPr>
          <w:b/>
          <w:szCs w:val="24"/>
        </w:rPr>
      </w:pPr>
    </w:p>
    <w:p w14:paraId="72CC0539" w14:textId="62505775" w:rsidR="00E44B0A" w:rsidRDefault="0096515F" w:rsidP="0096515F">
      <w:pPr>
        <w:ind w:left="720" w:hanging="720"/>
        <w:rPr>
          <w:color w:val="FF0000"/>
          <w:szCs w:val="24"/>
        </w:rPr>
      </w:pPr>
      <w:r>
        <w:rPr>
          <w:szCs w:val="24"/>
        </w:rPr>
        <w:t>1</w:t>
      </w:r>
      <w:r w:rsidR="002F2FE9">
        <w:rPr>
          <w:szCs w:val="24"/>
        </w:rPr>
        <w:t>1</w:t>
      </w:r>
      <w:r>
        <w:rPr>
          <w:szCs w:val="24"/>
        </w:rPr>
        <w:t>.1</w:t>
      </w:r>
      <w:r>
        <w:rPr>
          <w:szCs w:val="24"/>
        </w:rPr>
        <w:tab/>
      </w:r>
      <w:r w:rsidR="0047080B" w:rsidRPr="0047080B">
        <w:rPr>
          <w:szCs w:val="24"/>
        </w:rPr>
        <w:t xml:space="preserve">In this school, the </w:t>
      </w:r>
      <w:r w:rsidR="0047080B" w:rsidRPr="00CC1633">
        <w:rPr>
          <w:szCs w:val="24"/>
        </w:rPr>
        <w:t xml:space="preserve">Governing Board will use </w:t>
      </w:r>
      <w:r w:rsidR="000F05CC" w:rsidRPr="00CC1633">
        <w:rPr>
          <w:szCs w:val="24"/>
        </w:rPr>
        <w:t xml:space="preserve">the STPCD’s advisory pay points </w:t>
      </w:r>
      <w:r w:rsidR="0047080B" w:rsidRPr="00CC1633">
        <w:rPr>
          <w:szCs w:val="24"/>
        </w:rPr>
        <w:t xml:space="preserve">to determine teacher salaries.  </w:t>
      </w:r>
      <w:r w:rsidR="00E44B0A" w:rsidRPr="00CC1633">
        <w:rPr>
          <w:szCs w:val="24"/>
        </w:rPr>
        <w:t xml:space="preserve">These are set out in </w:t>
      </w:r>
      <w:hyperlink w:anchor="MainPR" w:history="1">
        <w:r w:rsidR="00E44B0A" w:rsidRPr="0044691D">
          <w:rPr>
            <w:rStyle w:val="Hyperlink"/>
            <w:szCs w:val="24"/>
          </w:rPr>
          <w:t>Appendix 3.</w:t>
        </w:r>
      </w:hyperlink>
    </w:p>
    <w:p w14:paraId="63FFC6B4" w14:textId="77777777" w:rsidR="00D36D81" w:rsidRDefault="00D36D81" w:rsidP="00124D59">
      <w:pPr>
        <w:rPr>
          <w:b/>
          <w:szCs w:val="24"/>
        </w:rPr>
      </w:pPr>
    </w:p>
    <w:p w14:paraId="19DC880E" w14:textId="0758C0DC" w:rsidR="0047080B" w:rsidRPr="00966766" w:rsidRDefault="00966766" w:rsidP="00124D59">
      <w:pPr>
        <w:rPr>
          <w:b/>
          <w:sz w:val="36"/>
          <w:szCs w:val="36"/>
        </w:rPr>
      </w:pPr>
      <w:bookmarkStart w:id="22" w:name="UPS"/>
      <w:r w:rsidRPr="00966766">
        <w:rPr>
          <w:b/>
          <w:sz w:val="36"/>
          <w:szCs w:val="36"/>
        </w:rPr>
        <w:lastRenderedPageBreak/>
        <w:t>1</w:t>
      </w:r>
      <w:r w:rsidR="002F2FE9">
        <w:rPr>
          <w:b/>
          <w:sz w:val="36"/>
          <w:szCs w:val="36"/>
        </w:rPr>
        <w:t>2</w:t>
      </w:r>
      <w:r w:rsidR="0047080B" w:rsidRPr="00966766">
        <w:rPr>
          <w:b/>
          <w:sz w:val="36"/>
          <w:szCs w:val="36"/>
        </w:rPr>
        <w:tab/>
        <w:t>Upper Pay Range</w:t>
      </w:r>
    </w:p>
    <w:bookmarkEnd w:id="22"/>
    <w:p w14:paraId="3C5C42F3" w14:textId="77777777" w:rsidR="00966766" w:rsidRDefault="00966766" w:rsidP="00124D59">
      <w:pPr>
        <w:ind w:left="720"/>
        <w:rPr>
          <w:szCs w:val="24"/>
        </w:rPr>
      </w:pPr>
    </w:p>
    <w:p w14:paraId="5BF631A1" w14:textId="17C246A5" w:rsidR="00CE539F" w:rsidRDefault="0096515F" w:rsidP="0096515F">
      <w:pPr>
        <w:ind w:left="720" w:hanging="720"/>
        <w:rPr>
          <w:szCs w:val="24"/>
        </w:rPr>
      </w:pPr>
      <w:r>
        <w:rPr>
          <w:szCs w:val="24"/>
        </w:rPr>
        <w:t>1</w:t>
      </w:r>
      <w:r w:rsidR="002F2FE9">
        <w:rPr>
          <w:szCs w:val="24"/>
        </w:rPr>
        <w:t>2</w:t>
      </w:r>
      <w:r>
        <w:rPr>
          <w:szCs w:val="24"/>
        </w:rPr>
        <w:t>.1</w:t>
      </w:r>
      <w:r>
        <w:rPr>
          <w:szCs w:val="24"/>
        </w:rPr>
        <w:tab/>
      </w:r>
      <w:r w:rsidR="0047080B" w:rsidRPr="0047080B">
        <w:rPr>
          <w:szCs w:val="24"/>
        </w:rPr>
        <w:t xml:space="preserve">In this school, the Governing Board will use </w:t>
      </w:r>
      <w:r w:rsidR="00855122" w:rsidRPr="00082177">
        <w:rPr>
          <w:szCs w:val="24"/>
        </w:rPr>
        <w:t>the STPCD’s advisory pay points</w:t>
      </w:r>
      <w:r w:rsidR="00855122">
        <w:rPr>
          <w:szCs w:val="24"/>
        </w:rPr>
        <w:t xml:space="preserve"> </w:t>
      </w:r>
      <w:r w:rsidR="0047080B" w:rsidRPr="0047080B">
        <w:rPr>
          <w:szCs w:val="24"/>
        </w:rPr>
        <w:t xml:space="preserve">to determine teacher salaries.  </w:t>
      </w:r>
      <w:r w:rsidR="00CE539F">
        <w:rPr>
          <w:szCs w:val="24"/>
        </w:rPr>
        <w:t xml:space="preserve">These values are set out in </w:t>
      </w:r>
      <w:hyperlink w:anchor="UPR" w:history="1">
        <w:r w:rsidR="00CE539F" w:rsidRPr="0044691D">
          <w:rPr>
            <w:rStyle w:val="Hyperlink"/>
            <w:szCs w:val="24"/>
          </w:rPr>
          <w:t>Appendix 3</w:t>
        </w:r>
      </w:hyperlink>
      <w:r w:rsidR="00CE539F">
        <w:rPr>
          <w:szCs w:val="24"/>
        </w:rPr>
        <w:t>.</w:t>
      </w:r>
    </w:p>
    <w:p w14:paraId="6C136AFE" w14:textId="77777777" w:rsidR="00710E93" w:rsidRDefault="00710E93" w:rsidP="00124D59">
      <w:pPr>
        <w:rPr>
          <w:szCs w:val="24"/>
        </w:rPr>
      </w:pPr>
    </w:p>
    <w:p w14:paraId="3FFC79AD" w14:textId="51572D0A" w:rsidR="0047080B" w:rsidRPr="00966766" w:rsidRDefault="00966766" w:rsidP="00124D59">
      <w:pPr>
        <w:rPr>
          <w:b/>
          <w:sz w:val="36"/>
          <w:szCs w:val="36"/>
        </w:rPr>
      </w:pPr>
      <w:bookmarkStart w:id="23" w:name="ProgresisonUPS"/>
      <w:r w:rsidRPr="00966766">
        <w:rPr>
          <w:b/>
          <w:sz w:val="36"/>
          <w:szCs w:val="36"/>
        </w:rPr>
        <w:t>1</w:t>
      </w:r>
      <w:r w:rsidR="002F2FE9">
        <w:rPr>
          <w:b/>
          <w:sz w:val="36"/>
          <w:szCs w:val="36"/>
        </w:rPr>
        <w:t>3</w:t>
      </w:r>
      <w:r w:rsidR="0047080B" w:rsidRPr="00966766">
        <w:rPr>
          <w:b/>
          <w:sz w:val="36"/>
          <w:szCs w:val="36"/>
        </w:rPr>
        <w:tab/>
        <w:t>Progression to the Upper Pay Range</w:t>
      </w:r>
    </w:p>
    <w:bookmarkEnd w:id="23"/>
    <w:p w14:paraId="53D4AECC" w14:textId="77777777" w:rsidR="00966766" w:rsidRPr="0047080B" w:rsidRDefault="00966766" w:rsidP="00124D59">
      <w:pPr>
        <w:rPr>
          <w:b/>
          <w:szCs w:val="24"/>
        </w:rPr>
      </w:pPr>
    </w:p>
    <w:p w14:paraId="21DC726D" w14:textId="130AE661" w:rsidR="0096515F" w:rsidRDefault="0096515F" w:rsidP="49CFA1B9">
      <w:pPr>
        <w:ind w:left="720" w:hanging="720"/>
      </w:pPr>
      <w:r>
        <w:t>1</w:t>
      </w:r>
      <w:r w:rsidR="002F2FE9">
        <w:t>3</w:t>
      </w:r>
      <w:r>
        <w:t>.1</w:t>
      </w:r>
      <w:r>
        <w:tab/>
      </w:r>
      <w:r w:rsidR="0047080B">
        <w:t xml:space="preserve">Any qualified teacher can apply to be paid on the Upper Pay </w:t>
      </w:r>
      <w:proofErr w:type="gramStart"/>
      <w:r w:rsidR="0047080B">
        <w:t>Range</w:t>
      </w:r>
      <w:proofErr w:type="gramEnd"/>
      <w:r w:rsidR="0047080B">
        <w:t xml:space="preserve"> and any application must be assessed in line with this policy.  </w:t>
      </w:r>
      <w:r w:rsidR="0047080B" w:rsidRPr="49CFA1B9">
        <w:rPr>
          <w:b/>
          <w:bCs/>
        </w:rPr>
        <w:t xml:space="preserve">It is the responsibility of the teacher to decide </w:t>
      </w:r>
      <w:proofErr w:type="gramStart"/>
      <w:r w:rsidR="0047080B" w:rsidRPr="49CFA1B9">
        <w:rPr>
          <w:b/>
          <w:bCs/>
        </w:rPr>
        <w:t>whether or not</w:t>
      </w:r>
      <w:proofErr w:type="gramEnd"/>
      <w:r w:rsidR="0047080B" w:rsidRPr="49CFA1B9">
        <w:rPr>
          <w:b/>
          <w:bCs/>
        </w:rPr>
        <w:t xml:space="preserve"> they wish to apply to be paid on the upper pay range.</w:t>
      </w:r>
      <w:r w:rsidR="00C84809">
        <w:t xml:space="preserve"> There are no barriers to movement onto the Upper Pay Range that </w:t>
      </w:r>
      <w:bookmarkStart w:id="24" w:name="_Int_oIO6OSdV"/>
      <w:proofErr w:type="gramStart"/>
      <w:r w:rsidR="00C84809">
        <w:t>are connected with</w:t>
      </w:r>
      <w:bookmarkEnd w:id="24"/>
      <w:proofErr w:type="gramEnd"/>
      <w:r w:rsidR="00C84809">
        <w:t xml:space="preserve"> length of service and no requirement to be at the top of the main pay range</w:t>
      </w:r>
      <w:r w:rsidR="00CE6E72">
        <w:t xml:space="preserve"> before applying to be paid on the upper pay range.</w:t>
      </w:r>
    </w:p>
    <w:p w14:paraId="176DB4DF" w14:textId="77777777" w:rsidR="00966766" w:rsidRPr="0047080B" w:rsidRDefault="00966766" w:rsidP="00124D59">
      <w:pPr>
        <w:ind w:left="720"/>
        <w:rPr>
          <w:szCs w:val="24"/>
        </w:rPr>
      </w:pPr>
    </w:p>
    <w:p w14:paraId="66C08329" w14:textId="2D56C402" w:rsidR="0047080B" w:rsidRDefault="0096515F" w:rsidP="0096515F">
      <w:pPr>
        <w:ind w:left="720" w:hanging="720"/>
        <w:rPr>
          <w:szCs w:val="24"/>
        </w:rPr>
      </w:pPr>
      <w:r>
        <w:rPr>
          <w:szCs w:val="24"/>
        </w:rPr>
        <w:t>1</w:t>
      </w:r>
      <w:r w:rsidR="002F2FE9">
        <w:rPr>
          <w:szCs w:val="24"/>
        </w:rPr>
        <w:t>3</w:t>
      </w:r>
      <w:r>
        <w:rPr>
          <w:szCs w:val="24"/>
        </w:rPr>
        <w:t>.2</w:t>
      </w:r>
      <w:r>
        <w:rPr>
          <w:szCs w:val="24"/>
        </w:rPr>
        <w:tab/>
      </w:r>
      <w:r w:rsidR="0047080B" w:rsidRPr="0047080B">
        <w:rPr>
          <w:szCs w:val="24"/>
        </w:rPr>
        <w:t>Where a teacher is simultaneously employed at another school, they may submit separate applications if they wish to apply to be on the upper pay range in that school.  This school will not be bound by any pay decision made by another school.</w:t>
      </w:r>
    </w:p>
    <w:p w14:paraId="0274A5EC" w14:textId="77777777" w:rsidR="00824337" w:rsidRPr="0047080B" w:rsidRDefault="00824337" w:rsidP="00124D59">
      <w:pPr>
        <w:ind w:left="720"/>
        <w:rPr>
          <w:szCs w:val="24"/>
        </w:rPr>
      </w:pPr>
    </w:p>
    <w:p w14:paraId="500E0309" w14:textId="4C15EFE7" w:rsidR="00124D59" w:rsidRDefault="0096515F" w:rsidP="0096515F">
      <w:pPr>
        <w:ind w:left="720" w:hanging="720"/>
        <w:rPr>
          <w:szCs w:val="24"/>
        </w:rPr>
      </w:pPr>
      <w:r>
        <w:rPr>
          <w:szCs w:val="24"/>
        </w:rPr>
        <w:t>1</w:t>
      </w:r>
      <w:r w:rsidR="002F2FE9">
        <w:rPr>
          <w:szCs w:val="24"/>
        </w:rPr>
        <w:t>3</w:t>
      </w:r>
      <w:r>
        <w:rPr>
          <w:szCs w:val="24"/>
        </w:rPr>
        <w:t>.3</w:t>
      </w:r>
      <w:r>
        <w:rPr>
          <w:szCs w:val="24"/>
        </w:rPr>
        <w:tab/>
      </w:r>
      <w:r w:rsidR="0047080B" w:rsidRPr="0047080B">
        <w:rPr>
          <w:szCs w:val="24"/>
        </w:rPr>
        <w:t>Applications should be made to the Headteacher in writing once a year.  The deadline for receipt is 31 October for progression from the start of that academic year.</w:t>
      </w:r>
      <w:r w:rsidR="00124D59">
        <w:rPr>
          <w:szCs w:val="24"/>
        </w:rPr>
        <w:t xml:space="preserve">  </w:t>
      </w:r>
      <w:hyperlink w:anchor="Appen2" w:history="1">
        <w:r w:rsidR="00124D59" w:rsidRPr="00124D59">
          <w:rPr>
            <w:rStyle w:val="Hyperlink"/>
            <w:szCs w:val="24"/>
          </w:rPr>
          <w:t>Appendix 2</w:t>
        </w:r>
      </w:hyperlink>
      <w:r w:rsidR="00124D59">
        <w:rPr>
          <w:szCs w:val="24"/>
        </w:rPr>
        <w:t xml:space="preserve"> provides an </w:t>
      </w:r>
      <w:r w:rsidR="00124D59" w:rsidRPr="00124D59">
        <w:rPr>
          <w:szCs w:val="24"/>
        </w:rPr>
        <w:t>Upper Pay Range Application Form</w:t>
      </w:r>
      <w:r w:rsidR="00124D59">
        <w:rPr>
          <w:szCs w:val="24"/>
        </w:rPr>
        <w:t xml:space="preserve"> to be used for this purpose</w:t>
      </w:r>
      <w:r w:rsidR="00124D59" w:rsidRPr="00124D59">
        <w:rPr>
          <w:szCs w:val="24"/>
        </w:rPr>
        <w:t>.</w:t>
      </w:r>
    </w:p>
    <w:p w14:paraId="449741DE" w14:textId="77777777" w:rsidR="00CC1639" w:rsidRPr="00124D59" w:rsidRDefault="00CC1639" w:rsidP="00124D59">
      <w:pPr>
        <w:ind w:left="720"/>
        <w:rPr>
          <w:szCs w:val="24"/>
        </w:rPr>
      </w:pPr>
    </w:p>
    <w:p w14:paraId="79C6CB12" w14:textId="72512D25" w:rsidR="0047080B" w:rsidRDefault="0096515F" w:rsidP="0096515F">
      <w:pPr>
        <w:ind w:left="720" w:hanging="720"/>
        <w:rPr>
          <w:szCs w:val="24"/>
        </w:rPr>
      </w:pPr>
      <w:r>
        <w:rPr>
          <w:szCs w:val="24"/>
        </w:rPr>
        <w:t>1</w:t>
      </w:r>
      <w:r w:rsidR="002F2FE9">
        <w:rPr>
          <w:szCs w:val="24"/>
        </w:rPr>
        <w:t>3</w:t>
      </w:r>
      <w:r>
        <w:rPr>
          <w:szCs w:val="24"/>
        </w:rPr>
        <w:t>.4</w:t>
      </w:r>
      <w:r>
        <w:rPr>
          <w:szCs w:val="24"/>
        </w:rPr>
        <w:tab/>
      </w:r>
      <w:r w:rsidR="0047080B" w:rsidRPr="0047080B">
        <w:rPr>
          <w:szCs w:val="24"/>
        </w:rPr>
        <w:t xml:space="preserve">All applications should include the results of the two most recent appraisals, including any recommendation on pay.  Where such information is not available, for example, those returning from maternity or other </w:t>
      </w:r>
      <w:proofErr w:type="gramStart"/>
      <w:r w:rsidR="0047080B" w:rsidRPr="0047080B">
        <w:rPr>
          <w:szCs w:val="24"/>
        </w:rPr>
        <w:t>long term</w:t>
      </w:r>
      <w:proofErr w:type="gramEnd"/>
      <w:r w:rsidR="0047080B" w:rsidRPr="0047080B">
        <w:rPr>
          <w:szCs w:val="24"/>
        </w:rPr>
        <w:t xml:space="preserve"> absence a written statement and summary of evidence designed to demonstrate that the applicant</w:t>
      </w:r>
      <w:r w:rsidR="0047080B" w:rsidRPr="0047080B">
        <w:rPr>
          <w:rFonts w:ascii="Calibri" w:hAnsi="Calibri" w:cs="Times New Roman"/>
          <w:sz w:val="22"/>
          <w:szCs w:val="22"/>
        </w:rPr>
        <w:t xml:space="preserve"> </w:t>
      </w:r>
      <w:r w:rsidR="0047080B" w:rsidRPr="0047080B">
        <w:rPr>
          <w:szCs w:val="24"/>
        </w:rPr>
        <w:t>has met the assessment criteria must be submitted by the applicant.</w:t>
      </w:r>
    </w:p>
    <w:p w14:paraId="5A69612E" w14:textId="77777777" w:rsidR="00124D59" w:rsidRPr="0047080B" w:rsidRDefault="00124D59" w:rsidP="00124D59">
      <w:pPr>
        <w:ind w:left="720"/>
        <w:rPr>
          <w:szCs w:val="24"/>
        </w:rPr>
      </w:pPr>
    </w:p>
    <w:p w14:paraId="17C2146E" w14:textId="5F552960" w:rsidR="0047080B" w:rsidRDefault="0096515F" w:rsidP="00124D59">
      <w:pPr>
        <w:rPr>
          <w:szCs w:val="24"/>
        </w:rPr>
      </w:pPr>
      <w:r>
        <w:rPr>
          <w:szCs w:val="24"/>
        </w:rPr>
        <w:t>1</w:t>
      </w:r>
      <w:r w:rsidR="002F2FE9">
        <w:rPr>
          <w:szCs w:val="24"/>
        </w:rPr>
        <w:t>3</w:t>
      </w:r>
      <w:r>
        <w:rPr>
          <w:szCs w:val="24"/>
        </w:rPr>
        <w:t>.5</w:t>
      </w:r>
      <w:r>
        <w:rPr>
          <w:szCs w:val="24"/>
        </w:rPr>
        <w:tab/>
      </w:r>
      <w:r w:rsidR="0047080B" w:rsidRPr="0047080B">
        <w:rPr>
          <w:szCs w:val="24"/>
        </w:rPr>
        <w:t>An application will be successful where the Governing Board is satisfied that:</w:t>
      </w:r>
    </w:p>
    <w:p w14:paraId="0B9676F6" w14:textId="77777777" w:rsidR="00124D59" w:rsidRPr="0047080B" w:rsidRDefault="00124D59" w:rsidP="00124D59">
      <w:pPr>
        <w:rPr>
          <w:szCs w:val="24"/>
        </w:rPr>
      </w:pPr>
    </w:p>
    <w:p w14:paraId="265E7B48" w14:textId="77777777" w:rsidR="0047080B" w:rsidRPr="0047080B" w:rsidRDefault="0047080B" w:rsidP="00D13A0A">
      <w:pPr>
        <w:numPr>
          <w:ilvl w:val="0"/>
          <w:numId w:val="10"/>
        </w:numPr>
        <w:ind w:left="1434" w:hanging="441"/>
        <w:rPr>
          <w:szCs w:val="24"/>
        </w:rPr>
      </w:pPr>
      <w:r w:rsidRPr="0047080B">
        <w:rPr>
          <w:szCs w:val="24"/>
        </w:rPr>
        <w:t xml:space="preserve">the teacher is highly competent in all elements of the relevant </w:t>
      </w:r>
      <w:proofErr w:type="gramStart"/>
      <w:r w:rsidRPr="0047080B">
        <w:rPr>
          <w:szCs w:val="24"/>
        </w:rPr>
        <w:t>standards;</w:t>
      </w:r>
      <w:proofErr w:type="gramEnd"/>
    </w:p>
    <w:p w14:paraId="11AC50AD" w14:textId="77777777" w:rsidR="0047080B" w:rsidRDefault="0047080B" w:rsidP="00D13A0A">
      <w:pPr>
        <w:numPr>
          <w:ilvl w:val="0"/>
          <w:numId w:val="10"/>
        </w:numPr>
        <w:ind w:left="1434" w:hanging="441"/>
        <w:rPr>
          <w:szCs w:val="24"/>
        </w:rPr>
      </w:pPr>
      <w:r w:rsidRPr="0047080B">
        <w:rPr>
          <w:szCs w:val="24"/>
        </w:rPr>
        <w:t>the teacher’s achievements and contribution to the school are substantial and sustained.</w:t>
      </w:r>
    </w:p>
    <w:p w14:paraId="1A9FB652" w14:textId="77777777" w:rsidR="00966766" w:rsidRPr="0047080B" w:rsidRDefault="00966766" w:rsidP="00124D59">
      <w:pPr>
        <w:rPr>
          <w:szCs w:val="24"/>
        </w:rPr>
      </w:pPr>
    </w:p>
    <w:p w14:paraId="7C22277A" w14:textId="06955A91" w:rsidR="0047080B" w:rsidRDefault="0096515F" w:rsidP="00124D59">
      <w:pPr>
        <w:rPr>
          <w:szCs w:val="24"/>
        </w:rPr>
      </w:pPr>
      <w:r>
        <w:rPr>
          <w:szCs w:val="24"/>
        </w:rPr>
        <w:t>1</w:t>
      </w:r>
      <w:r w:rsidR="002F2FE9">
        <w:rPr>
          <w:szCs w:val="24"/>
        </w:rPr>
        <w:t>3</w:t>
      </w:r>
      <w:r>
        <w:rPr>
          <w:szCs w:val="24"/>
        </w:rPr>
        <w:t>.6</w:t>
      </w:r>
      <w:r>
        <w:rPr>
          <w:szCs w:val="24"/>
        </w:rPr>
        <w:tab/>
      </w:r>
      <w:r w:rsidR="0047080B" w:rsidRPr="0047080B">
        <w:rPr>
          <w:szCs w:val="24"/>
        </w:rPr>
        <w:t>For the purposes of this policy:</w:t>
      </w:r>
    </w:p>
    <w:p w14:paraId="45515C4B" w14:textId="77777777" w:rsidR="00124D59" w:rsidRPr="0047080B" w:rsidRDefault="00124D59" w:rsidP="00124D59">
      <w:pPr>
        <w:rPr>
          <w:szCs w:val="24"/>
        </w:rPr>
      </w:pPr>
    </w:p>
    <w:p w14:paraId="5D4E9584" w14:textId="77777777" w:rsidR="0047080B" w:rsidRPr="0047080B" w:rsidRDefault="0047080B" w:rsidP="00D13A0A">
      <w:pPr>
        <w:numPr>
          <w:ilvl w:val="0"/>
          <w:numId w:val="11"/>
        </w:numPr>
        <w:ind w:left="1418" w:hanging="425"/>
        <w:rPr>
          <w:szCs w:val="24"/>
        </w:rPr>
      </w:pPr>
      <w:r w:rsidRPr="0047080B">
        <w:rPr>
          <w:szCs w:val="24"/>
        </w:rPr>
        <w:t>‘Highly competent’ means the teacher’s performance is assessed as not only good but also good enough to provide coaching and mentoring to other teachers, give advice to them and demonstrate to them effective teaching practice and how to make a wider contribution to the work of the school, in order to help them meet the relevant standards and develop their teaching practice.</w:t>
      </w:r>
    </w:p>
    <w:p w14:paraId="2ACAD4DA" w14:textId="77777777" w:rsidR="0047080B" w:rsidRPr="0047080B" w:rsidRDefault="0047080B" w:rsidP="00D13A0A">
      <w:pPr>
        <w:numPr>
          <w:ilvl w:val="0"/>
          <w:numId w:val="11"/>
        </w:numPr>
        <w:ind w:left="1418" w:hanging="425"/>
        <w:rPr>
          <w:szCs w:val="24"/>
        </w:rPr>
      </w:pPr>
      <w:r w:rsidRPr="0047080B">
        <w:rPr>
          <w:szCs w:val="24"/>
        </w:rPr>
        <w:t xml:space="preserve">‘Substantial’ means the teacher’s achievements and contribution to the school are significant not just in raising standards of teaching and </w:t>
      </w:r>
      <w:r w:rsidRPr="0047080B">
        <w:rPr>
          <w:szCs w:val="24"/>
        </w:rPr>
        <w:lastRenderedPageBreak/>
        <w:t>learning in their own classroom, or with their own groups of children, but also in making a significant wider contribution to school improvement, which impacts on pupil progress and the effectiveness of staff and colleagues.</w:t>
      </w:r>
    </w:p>
    <w:p w14:paraId="42547840" w14:textId="77777777" w:rsidR="0047080B" w:rsidRDefault="0047080B" w:rsidP="00D13A0A">
      <w:pPr>
        <w:numPr>
          <w:ilvl w:val="0"/>
          <w:numId w:val="11"/>
        </w:numPr>
        <w:ind w:left="1418" w:hanging="425"/>
        <w:rPr>
          <w:szCs w:val="24"/>
        </w:rPr>
      </w:pPr>
      <w:r w:rsidRPr="0047080B">
        <w:rPr>
          <w:szCs w:val="24"/>
        </w:rPr>
        <w:t xml:space="preserve">‘Sustained’ means the teacher must have had two consecutive successful appraisal reports in this school and have made good progress towards their objectives during this period.  Please note that a lesser </w:t>
      </w:r>
      <w:proofErr w:type="gramStart"/>
      <w:r w:rsidRPr="0047080B">
        <w:rPr>
          <w:szCs w:val="24"/>
        </w:rPr>
        <w:t>period of time</w:t>
      </w:r>
      <w:proofErr w:type="gramEnd"/>
      <w:r w:rsidRPr="0047080B">
        <w:rPr>
          <w:szCs w:val="24"/>
        </w:rPr>
        <w:t xml:space="preserve"> can be considered in situations such as maternity or other </w:t>
      </w:r>
      <w:proofErr w:type="gramStart"/>
      <w:r w:rsidRPr="0047080B">
        <w:rPr>
          <w:szCs w:val="24"/>
        </w:rPr>
        <w:t>long term</w:t>
      </w:r>
      <w:proofErr w:type="gramEnd"/>
      <w:r w:rsidRPr="0047080B">
        <w:rPr>
          <w:szCs w:val="24"/>
        </w:rPr>
        <w:t xml:space="preserve"> absence.</w:t>
      </w:r>
    </w:p>
    <w:p w14:paraId="3D960CE9" w14:textId="77777777" w:rsidR="00124D59" w:rsidRPr="0047080B" w:rsidRDefault="00124D59" w:rsidP="00124D59">
      <w:pPr>
        <w:ind w:left="1440"/>
        <w:rPr>
          <w:szCs w:val="24"/>
        </w:rPr>
      </w:pPr>
    </w:p>
    <w:p w14:paraId="407A226F" w14:textId="2E02CC81" w:rsidR="0047080B" w:rsidRDefault="0096515F" w:rsidP="00124D59">
      <w:pPr>
        <w:ind w:left="720" w:hanging="720"/>
        <w:rPr>
          <w:szCs w:val="24"/>
        </w:rPr>
      </w:pPr>
      <w:r>
        <w:rPr>
          <w:szCs w:val="24"/>
        </w:rPr>
        <w:t>1</w:t>
      </w:r>
      <w:r w:rsidR="002F2FE9">
        <w:rPr>
          <w:szCs w:val="24"/>
        </w:rPr>
        <w:t>3</w:t>
      </w:r>
      <w:r>
        <w:rPr>
          <w:szCs w:val="24"/>
        </w:rPr>
        <w:t>.7</w:t>
      </w:r>
      <w:r>
        <w:rPr>
          <w:szCs w:val="24"/>
        </w:rPr>
        <w:tab/>
      </w:r>
      <w:r w:rsidR="0047080B" w:rsidRPr="0047080B">
        <w:rPr>
          <w:szCs w:val="24"/>
        </w:rPr>
        <w:t>The Governing Board will make the final dec</w:t>
      </w:r>
      <w:r w:rsidR="00966766">
        <w:rPr>
          <w:szCs w:val="24"/>
        </w:rPr>
        <w:t>ision on applications advised by</w:t>
      </w:r>
      <w:r w:rsidR="0047080B" w:rsidRPr="0047080B">
        <w:rPr>
          <w:szCs w:val="24"/>
        </w:rPr>
        <w:t xml:space="preserve"> the Headteacher.</w:t>
      </w:r>
    </w:p>
    <w:p w14:paraId="2887C35C" w14:textId="77777777" w:rsidR="0096515F" w:rsidRDefault="0096515F" w:rsidP="00124D59">
      <w:pPr>
        <w:ind w:left="720" w:hanging="720"/>
        <w:rPr>
          <w:szCs w:val="24"/>
        </w:rPr>
      </w:pPr>
    </w:p>
    <w:p w14:paraId="7B5E5B63" w14:textId="2839E90D" w:rsidR="0047080B" w:rsidRDefault="127CB96F" w:rsidP="0096515F">
      <w:pPr>
        <w:ind w:left="720" w:hanging="720"/>
      </w:pPr>
      <w:r>
        <w:t>1</w:t>
      </w:r>
      <w:r w:rsidR="41B7ED59">
        <w:t>3</w:t>
      </w:r>
      <w:r>
        <w:t>.8</w:t>
      </w:r>
      <w:r w:rsidR="0096515F">
        <w:tab/>
      </w:r>
      <w:r w:rsidR="06E409F7">
        <w:t>Where an application is successful, applicants will move to the upper pay range from the start of the academic year.  Successful applicants will be placed on the minimum point of the upper pay range.</w:t>
      </w:r>
    </w:p>
    <w:p w14:paraId="51E19D52" w14:textId="09940EA2" w:rsidR="49CFA1B9" w:rsidRDefault="49CFA1B9" w:rsidP="49CFA1B9">
      <w:pPr>
        <w:ind w:left="720" w:hanging="720"/>
      </w:pPr>
    </w:p>
    <w:p w14:paraId="4D5548BA" w14:textId="5FEF0D9B" w:rsidR="06BA62D8" w:rsidRDefault="03929633" w:rsidP="49CFA1B9">
      <w:pPr>
        <w:ind w:left="720" w:hanging="720"/>
      </w:pPr>
      <w:r>
        <w:t>13.9</w:t>
      </w:r>
      <w:r>
        <w:tab/>
        <w:t xml:space="preserve">Once a </w:t>
      </w:r>
      <w:r w:rsidR="14A8E869">
        <w:t>t</w:t>
      </w:r>
      <w:r>
        <w:t xml:space="preserve">eacher has successfully applied to move onto the upper pay range they are not required to apply for progression when they become eligible (two yearly), progression should automatically be considered </w:t>
      </w:r>
      <w:r w:rsidR="4A282335">
        <w:t>by the Headteacher when</w:t>
      </w:r>
      <w:r w:rsidR="2E9B0471">
        <w:t xml:space="preserve"> the teacher is eligible. </w:t>
      </w:r>
      <w:hyperlink w:anchor="Bookmark1">
        <w:r w:rsidR="0D7D905C" w:rsidRPr="5BD2FCF6">
          <w:rPr>
            <w:rStyle w:val="Hyperlink"/>
          </w:rPr>
          <w:t>See paragraph 7.9</w:t>
        </w:r>
      </w:hyperlink>
      <w:r w:rsidR="565FA0C1">
        <w:t xml:space="preserve"> for information on progression within the upper pay range.</w:t>
      </w:r>
    </w:p>
    <w:p w14:paraId="6DE4E34B" w14:textId="77777777" w:rsidR="00824337" w:rsidRPr="0047080B" w:rsidRDefault="00824337" w:rsidP="00124D59">
      <w:pPr>
        <w:ind w:left="720"/>
        <w:rPr>
          <w:szCs w:val="24"/>
        </w:rPr>
      </w:pPr>
    </w:p>
    <w:p w14:paraId="00F097AE" w14:textId="51038770" w:rsidR="0047080B" w:rsidRDefault="127CB96F" w:rsidP="0096515F">
      <w:pPr>
        <w:ind w:left="720" w:hanging="720"/>
      </w:pPr>
      <w:r>
        <w:t>1</w:t>
      </w:r>
      <w:r w:rsidR="41B7ED59">
        <w:t>3</w:t>
      </w:r>
      <w:r>
        <w:t>.</w:t>
      </w:r>
      <w:r w:rsidR="5C35ECDF">
        <w:t>10</w:t>
      </w:r>
      <w:r w:rsidR="0096515F">
        <w:tab/>
      </w:r>
      <w:r w:rsidR="06E409F7">
        <w:t xml:space="preserve">Where an application is unsuccessful, teachers will be provided with written feedback of the areas where it was felt the teacher’s performance did not satisfy the relevant criteria as set out in this policy.  Unsuccessful applicants have the right to request verbal feedback from the assessor within 10 working days of the date of determination by the Governing Board.  Feedback should be given in a positive manner and include advice and support on areas for improvement </w:t>
      </w:r>
      <w:proofErr w:type="gramStart"/>
      <w:r w:rsidR="06E409F7">
        <w:t>in order to</w:t>
      </w:r>
      <w:proofErr w:type="gramEnd"/>
      <w:r w:rsidR="06E409F7">
        <w:t xml:space="preserve"> meet the relevant criteria.</w:t>
      </w:r>
    </w:p>
    <w:p w14:paraId="28F7A330" w14:textId="77777777" w:rsidR="00224CC4" w:rsidRDefault="00224CC4" w:rsidP="0096515F">
      <w:pPr>
        <w:ind w:left="720" w:hanging="720"/>
        <w:rPr>
          <w:szCs w:val="24"/>
        </w:rPr>
      </w:pPr>
    </w:p>
    <w:p w14:paraId="3F3C2C06" w14:textId="0D9F948C" w:rsidR="00224CC4" w:rsidRDefault="0D2F8F7C" w:rsidP="1011A7CF">
      <w:pPr>
        <w:ind w:left="720" w:hanging="720"/>
      </w:pPr>
      <w:r>
        <w:t>1</w:t>
      </w:r>
      <w:r w:rsidR="41B7ED59">
        <w:t>3</w:t>
      </w:r>
      <w:r>
        <w:t>.1</w:t>
      </w:r>
      <w:r w:rsidR="0BB5FCC0">
        <w:t>1</w:t>
      </w:r>
      <w:r w:rsidR="00224CC4">
        <w:tab/>
      </w:r>
      <w:r>
        <w:t xml:space="preserve">Any appeal against a decision not to move a teacher to upper pay range will be managed in line with the appeal process outlined in section </w:t>
      </w:r>
      <w:r w:rsidR="7E0015B9">
        <w:t>8</w:t>
      </w:r>
      <w:r>
        <w:t>.</w:t>
      </w:r>
    </w:p>
    <w:p w14:paraId="0BD781F8" w14:textId="77777777" w:rsidR="002657F9" w:rsidRDefault="002657F9" w:rsidP="002F2FE9">
      <w:pPr>
        <w:rPr>
          <w:szCs w:val="24"/>
        </w:rPr>
      </w:pPr>
    </w:p>
    <w:p w14:paraId="65A1B9D1" w14:textId="37BC6390" w:rsidR="0047080B" w:rsidRPr="00966766" w:rsidRDefault="00966766" w:rsidP="00124D59">
      <w:pPr>
        <w:rPr>
          <w:b/>
          <w:sz w:val="36"/>
          <w:szCs w:val="36"/>
        </w:rPr>
      </w:pPr>
      <w:bookmarkStart w:id="25" w:name="LeadingPract"/>
      <w:r w:rsidRPr="00966766">
        <w:rPr>
          <w:b/>
          <w:sz w:val="36"/>
          <w:szCs w:val="36"/>
        </w:rPr>
        <w:t>1</w:t>
      </w:r>
      <w:r w:rsidR="002F2FE9">
        <w:rPr>
          <w:b/>
          <w:sz w:val="36"/>
          <w:szCs w:val="36"/>
        </w:rPr>
        <w:t>4</w:t>
      </w:r>
      <w:r w:rsidR="0047080B" w:rsidRPr="00966766">
        <w:rPr>
          <w:b/>
          <w:sz w:val="36"/>
          <w:szCs w:val="36"/>
        </w:rPr>
        <w:tab/>
        <w:t xml:space="preserve">Leading Practitioner Roles </w:t>
      </w:r>
    </w:p>
    <w:bookmarkEnd w:id="25"/>
    <w:p w14:paraId="08628602" w14:textId="77777777" w:rsidR="00966766" w:rsidRPr="0047080B" w:rsidRDefault="00966766" w:rsidP="00124D59">
      <w:pPr>
        <w:rPr>
          <w:szCs w:val="24"/>
        </w:rPr>
      </w:pPr>
    </w:p>
    <w:p w14:paraId="46BBB09A" w14:textId="18255825" w:rsidR="0047080B" w:rsidRPr="0047080B" w:rsidRDefault="0096515F" w:rsidP="00C755F0">
      <w:pPr>
        <w:ind w:left="720" w:hanging="720"/>
        <w:rPr>
          <w:szCs w:val="24"/>
        </w:rPr>
      </w:pPr>
      <w:bookmarkStart w:id="26" w:name="REVLeadingPrac17"/>
      <w:r>
        <w:rPr>
          <w:szCs w:val="24"/>
        </w:rPr>
        <w:t>1</w:t>
      </w:r>
      <w:r w:rsidR="002F2FE9">
        <w:rPr>
          <w:szCs w:val="24"/>
        </w:rPr>
        <w:t>4</w:t>
      </w:r>
      <w:r>
        <w:rPr>
          <w:szCs w:val="24"/>
        </w:rPr>
        <w:t>.1</w:t>
      </w:r>
      <w:r>
        <w:rPr>
          <w:szCs w:val="24"/>
        </w:rPr>
        <w:tab/>
      </w:r>
      <w:r w:rsidR="000524D4" w:rsidRPr="00964A76">
        <w:rPr>
          <w:szCs w:val="24"/>
        </w:rPr>
        <w:t xml:space="preserve">Leading Practitioner roles </w:t>
      </w:r>
      <w:r w:rsidR="006A2880" w:rsidRPr="00964A76">
        <w:rPr>
          <w:szCs w:val="24"/>
        </w:rPr>
        <w:t>are where the</w:t>
      </w:r>
      <w:r w:rsidR="000524D4" w:rsidRPr="00964A76">
        <w:rPr>
          <w:szCs w:val="24"/>
        </w:rPr>
        <w:t xml:space="preserve"> primary purpose</w:t>
      </w:r>
      <w:r w:rsidR="006A2880" w:rsidRPr="00964A76">
        <w:rPr>
          <w:szCs w:val="24"/>
        </w:rPr>
        <w:t xml:space="preserve"> of the role</w:t>
      </w:r>
      <w:r w:rsidR="000524D4" w:rsidRPr="00964A76">
        <w:rPr>
          <w:szCs w:val="24"/>
        </w:rPr>
        <w:t xml:space="preserve"> is the modelling and leading improvement of teaching skills</w:t>
      </w:r>
      <w:r w:rsidR="00F5207C" w:rsidRPr="00964A76">
        <w:rPr>
          <w:szCs w:val="24"/>
        </w:rPr>
        <w:t xml:space="preserve">. </w:t>
      </w:r>
      <w:r w:rsidR="0047080B" w:rsidRPr="00964A76">
        <w:rPr>
          <w:szCs w:val="24"/>
        </w:rPr>
        <w:t>This</w:t>
      </w:r>
      <w:r w:rsidR="0047080B" w:rsidRPr="0047080B">
        <w:rPr>
          <w:szCs w:val="24"/>
        </w:rPr>
        <w:t xml:space="preserve"> school will not appoint to Leading Practitioner Roles</w:t>
      </w:r>
      <w:bookmarkEnd w:id="26"/>
      <w:r w:rsidR="0047080B" w:rsidRPr="0047080B">
        <w:rPr>
          <w:szCs w:val="24"/>
        </w:rPr>
        <w:t>.</w:t>
      </w:r>
    </w:p>
    <w:p w14:paraId="3465F434" w14:textId="77777777" w:rsidR="00824337" w:rsidRPr="0047080B" w:rsidRDefault="00824337" w:rsidP="00124D59">
      <w:pPr>
        <w:ind w:firstLine="720"/>
        <w:rPr>
          <w:szCs w:val="24"/>
        </w:rPr>
      </w:pPr>
    </w:p>
    <w:p w14:paraId="28CF3715" w14:textId="77777777" w:rsidR="002657F9" w:rsidRDefault="002657F9" w:rsidP="00124D59">
      <w:pPr>
        <w:rPr>
          <w:b/>
          <w:szCs w:val="24"/>
        </w:rPr>
      </w:pPr>
    </w:p>
    <w:p w14:paraId="3080FBF8" w14:textId="5FF17B7F" w:rsidR="0047080B" w:rsidRPr="00966766" w:rsidRDefault="00966766" w:rsidP="00124D59">
      <w:pPr>
        <w:rPr>
          <w:b/>
          <w:sz w:val="36"/>
          <w:szCs w:val="36"/>
        </w:rPr>
      </w:pPr>
      <w:bookmarkStart w:id="27" w:name="Unqualified"/>
      <w:r w:rsidRPr="00966766">
        <w:rPr>
          <w:b/>
          <w:sz w:val="36"/>
          <w:szCs w:val="36"/>
        </w:rPr>
        <w:t>1</w:t>
      </w:r>
      <w:r w:rsidR="00466CA5">
        <w:rPr>
          <w:b/>
          <w:sz w:val="36"/>
          <w:szCs w:val="36"/>
        </w:rPr>
        <w:t>5</w:t>
      </w:r>
      <w:r w:rsidR="0047080B" w:rsidRPr="00966766">
        <w:rPr>
          <w:b/>
          <w:sz w:val="36"/>
          <w:szCs w:val="36"/>
        </w:rPr>
        <w:tab/>
        <w:t>Unqualified Teachers</w:t>
      </w:r>
    </w:p>
    <w:bookmarkEnd w:id="27"/>
    <w:p w14:paraId="5F4F1CAD" w14:textId="77777777" w:rsidR="0047080B" w:rsidRPr="0047080B" w:rsidRDefault="0047080B" w:rsidP="00124D59">
      <w:pPr>
        <w:rPr>
          <w:b/>
          <w:szCs w:val="24"/>
        </w:rPr>
      </w:pPr>
    </w:p>
    <w:p w14:paraId="2104F16D" w14:textId="5888EA0B" w:rsidR="00E922A0" w:rsidRPr="0060259B" w:rsidRDefault="0096515F" w:rsidP="0060259B">
      <w:pPr>
        <w:ind w:left="720" w:hanging="720"/>
        <w:rPr>
          <w:color w:val="FF0000"/>
          <w:szCs w:val="24"/>
        </w:rPr>
      </w:pPr>
      <w:r>
        <w:rPr>
          <w:szCs w:val="24"/>
        </w:rPr>
        <w:t>1</w:t>
      </w:r>
      <w:r w:rsidR="003D0661">
        <w:rPr>
          <w:szCs w:val="24"/>
        </w:rPr>
        <w:t>5</w:t>
      </w:r>
      <w:r>
        <w:rPr>
          <w:szCs w:val="24"/>
        </w:rPr>
        <w:t>.1</w:t>
      </w:r>
      <w:r>
        <w:rPr>
          <w:szCs w:val="24"/>
        </w:rPr>
        <w:tab/>
      </w:r>
      <w:r w:rsidR="0047080B" w:rsidRPr="0047080B">
        <w:rPr>
          <w:szCs w:val="24"/>
        </w:rPr>
        <w:t>In this school, the Gove</w:t>
      </w:r>
      <w:r w:rsidR="0047080B" w:rsidRPr="00CC1633">
        <w:rPr>
          <w:szCs w:val="24"/>
        </w:rPr>
        <w:t xml:space="preserve">rning Board will use reference points to determine unqualified teacher salaries.  </w:t>
      </w:r>
      <w:r w:rsidR="00E922A0" w:rsidRPr="00CC1633">
        <w:rPr>
          <w:szCs w:val="24"/>
        </w:rPr>
        <w:t xml:space="preserve">The reference points used </w:t>
      </w:r>
      <w:r w:rsidR="00D823A5" w:rsidRPr="00CC1633">
        <w:rPr>
          <w:szCs w:val="24"/>
        </w:rPr>
        <w:t xml:space="preserve">for unqualified teachers is shown in </w:t>
      </w:r>
      <w:hyperlink w:anchor="utpr" w:history="1">
        <w:r w:rsidR="00D823A5" w:rsidRPr="00E676B2">
          <w:rPr>
            <w:rStyle w:val="Hyperlink"/>
            <w:szCs w:val="24"/>
          </w:rPr>
          <w:t>Appendix 3.</w:t>
        </w:r>
      </w:hyperlink>
    </w:p>
    <w:p w14:paraId="31C8EFEF" w14:textId="77777777" w:rsidR="00710E93" w:rsidRPr="0047080B" w:rsidRDefault="00710E93" w:rsidP="00124D59">
      <w:pPr>
        <w:rPr>
          <w:szCs w:val="24"/>
        </w:rPr>
      </w:pPr>
    </w:p>
    <w:p w14:paraId="04A9682A" w14:textId="70934765" w:rsidR="0047080B" w:rsidRDefault="0096515F" w:rsidP="0096515F">
      <w:pPr>
        <w:ind w:left="720" w:hanging="720"/>
        <w:rPr>
          <w:szCs w:val="24"/>
        </w:rPr>
      </w:pPr>
      <w:r>
        <w:rPr>
          <w:szCs w:val="24"/>
        </w:rPr>
        <w:t>1</w:t>
      </w:r>
      <w:r w:rsidR="003D0661">
        <w:rPr>
          <w:szCs w:val="24"/>
        </w:rPr>
        <w:t>5</w:t>
      </w:r>
      <w:r>
        <w:rPr>
          <w:szCs w:val="24"/>
        </w:rPr>
        <w:t>.2</w:t>
      </w:r>
      <w:r>
        <w:rPr>
          <w:szCs w:val="24"/>
        </w:rPr>
        <w:tab/>
      </w:r>
      <w:r w:rsidR="0047080B" w:rsidRPr="0047080B">
        <w:rPr>
          <w:szCs w:val="24"/>
        </w:rPr>
        <w:t xml:space="preserve">The Governing Board will determine where a newly appointed unqualified teacher will be placed on the pay range, having regard to any qualifications or </w:t>
      </w:r>
      <w:r w:rsidR="0047080B" w:rsidRPr="0047080B">
        <w:rPr>
          <w:szCs w:val="24"/>
        </w:rPr>
        <w:lastRenderedPageBreak/>
        <w:t>experience he/she may have, which they consider of value.  The Governing Board will consider whether it wishes to pay any additional allowances in line with the STPCD.</w:t>
      </w:r>
    </w:p>
    <w:p w14:paraId="25DC10B2" w14:textId="77777777" w:rsidR="004E0792" w:rsidRDefault="004E0792" w:rsidP="00933F77">
      <w:pPr>
        <w:rPr>
          <w:szCs w:val="24"/>
        </w:rPr>
      </w:pPr>
    </w:p>
    <w:p w14:paraId="0679486C" w14:textId="4ADBEA73" w:rsidR="004579B1" w:rsidRDefault="0082073D" w:rsidP="004579B1">
      <w:pPr>
        <w:rPr>
          <w:b/>
          <w:sz w:val="36"/>
          <w:szCs w:val="36"/>
        </w:rPr>
      </w:pPr>
      <w:r>
        <w:rPr>
          <w:b/>
          <w:sz w:val="36"/>
          <w:szCs w:val="36"/>
        </w:rPr>
        <w:t>1</w:t>
      </w:r>
      <w:r w:rsidR="003D0661">
        <w:rPr>
          <w:b/>
          <w:sz w:val="36"/>
          <w:szCs w:val="36"/>
        </w:rPr>
        <w:t>6</w:t>
      </w:r>
      <w:r w:rsidR="004579B1" w:rsidRPr="00966766">
        <w:rPr>
          <w:b/>
          <w:sz w:val="36"/>
          <w:szCs w:val="36"/>
        </w:rPr>
        <w:tab/>
      </w:r>
      <w:bookmarkStart w:id="28" w:name="NQT"/>
      <w:bookmarkStart w:id="29" w:name="EarlyCareer"/>
      <w:r w:rsidR="000A1372">
        <w:rPr>
          <w:b/>
          <w:sz w:val="36"/>
          <w:szCs w:val="36"/>
        </w:rPr>
        <w:t>Early Career Teachers</w:t>
      </w:r>
      <w:bookmarkEnd w:id="28"/>
      <w:bookmarkEnd w:id="29"/>
    </w:p>
    <w:p w14:paraId="75DBFCD8" w14:textId="77777777" w:rsidR="00DA68AC" w:rsidRDefault="00DA68AC" w:rsidP="00DC62E6">
      <w:pPr>
        <w:rPr>
          <w:i/>
          <w:iCs/>
        </w:rPr>
      </w:pPr>
    </w:p>
    <w:p w14:paraId="1C082DEB" w14:textId="442FE940" w:rsidR="00B10BF5" w:rsidRDefault="0082073D" w:rsidP="00B10BF5">
      <w:pPr>
        <w:ind w:left="720" w:hanging="720"/>
      </w:pPr>
      <w:r>
        <w:t>1</w:t>
      </w:r>
      <w:r w:rsidR="003D0661">
        <w:t>6</w:t>
      </w:r>
      <w:r w:rsidR="0096515F">
        <w:t>.1</w:t>
      </w:r>
      <w:r w:rsidR="0096515F">
        <w:tab/>
      </w:r>
      <w:r w:rsidR="00DA68AC" w:rsidRPr="00DC62E6">
        <w:t xml:space="preserve">In the case </w:t>
      </w:r>
      <w:r w:rsidR="000A1372">
        <w:t>ECT’s</w:t>
      </w:r>
      <w:r w:rsidR="00DA68AC" w:rsidRPr="00DC62E6">
        <w:t xml:space="preserve">, whose appraisal arrangements are different, pay </w:t>
      </w:r>
      <w:r w:rsidR="000A1372">
        <w:t>recommendations</w:t>
      </w:r>
      <w:r w:rsidR="00DA68AC" w:rsidRPr="00DC62E6">
        <w:t xml:space="preserve"> will be made by means of the statutory induction </w:t>
      </w:r>
      <w:r w:rsidR="00C87818" w:rsidRPr="00DC62E6">
        <w:t>process.</w:t>
      </w:r>
      <w:r w:rsidR="00C87818">
        <w:t xml:space="preserve"> Early</w:t>
      </w:r>
      <w:r w:rsidR="00B10BF5">
        <w:t xml:space="preserve"> career teachers will not be disadvantaged in respect of decision around pay progression </w:t>
      </w:r>
      <w:proofErr w:type="gramStart"/>
      <w:r w:rsidR="00B10BF5">
        <w:t>as a result of</w:t>
      </w:r>
      <w:proofErr w:type="gramEnd"/>
      <w:r w:rsidR="00B10BF5">
        <w:t xml:space="preserve"> changes to the statutory induction period. </w:t>
      </w:r>
    </w:p>
    <w:p w14:paraId="2BEB1DA0" w14:textId="77777777" w:rsidR="00D63C8E" w:rsidRDefault="00D63C8E" w:rsidP="00060AAE"/>
    <w:p w14:paraId="2D8EC1A0" w14:textId="7D30121E" w:rsidR="007970B7" w:rsidRPr="00DC62E6" w:rsidRDefault="65F47B46" w:rsidP="4FFB801D">
      <w:pPr>
        <w:ind w:left="720" w:hanging="720"/>
        <w:rPr>
          <w:strike/>
        </w:rPr>
      </w:pPr>
      <w:r>
        <w:t>1</w:t>
      </w:r>
      <w:r w:rsidR="08F3382A">
        <w:t>6</w:t>
      </w:r>
      <w:r>
        <w:t>.2</w:t>
      </w:r>
      <w:r w:rsidR="00932CE8">
        <w:tab/>
      </w:r>
      <w:r w:rsidR="363215E7">
        <w:t>An early career teacher (ECT) is eligible for pay progression at the end of the first year of induction</w:t>
      </w:r>
      <w:r w:rsidR="239395EB">
        <w:t>.</w:t>
      </w:r>
    </w:p>
    <w:p w14:paraId="6F8F7411" w14:textId="5D6033A0" w:rsidR="007970B7" w:rsidRPr="00DC62E6" w:rsidRDefault="007970B7" w:rsidP="007970B7">
      <w:pPr>
        <w:ind w:left="720" w:hanging="720"/>
      </w:pPr>
    </w:p>
    <w:p w14:paraId="0099FD39" w14:textId="77F49770" w:rsidR="007970B7" w:rsidRPr="00DC62E6" w:rsidRDefault="65F47B46" w:rsidP="4FFB801D">
      <w:pPr>
        <w:ind w:left="720" w:hanging="720"/>
        <w:rPr>
          <w:strike/>
        </w:rPr>
      </w:pPr>
      <w:r>
        <w:t>1</w:t>
      </w:r>
      <w:r w:rsidR="08F3382A">
        <w:t>6</w:t>
      </w:r>
      <w:r>
        <w:t>.3</w:t>
      </w:r>
      <w:r w:rsidR="00932CE8">
        <w:tab/>
      </w:r>
      <w:r w:rsidR="7BA2FC7F">
        <w:t xml:space="preserve">It may be necessary to instigate capability procedures at a stage before the end of the induction period. If this is the case, for as long as the ECT remains at the school the induction process must continue in parallel with the capability procedure. Any ECT subject to capability procedures will not receive pay progression. </w:t>
      </w:r>
    </w:p>
    <w:p w14:paraId="7AACF306" w14:textId="3A9963AF" w:rsidR="7E470E52" w:rsidRDefault="7E470E52" w:rsidP="5A7B3B2C">
      <w:pPr>
        <w:ind w:left="720" w:hanging="720"/>
      </w:pPr>
    </w:p>
    <w:p w14:paraId="375BA729" w14:textId="77777777" w:rsidR="00406DAF" w:rsidRDefault="00406DAF" w:rsidP="00406DAF"/>
    <w:p w14:paraId="3A08A145" w14:textId="3ADA9901" w:rsidR="00FE44C9" w:rsidRDefault="00B66A61" w:rsidP="00B82353">
      <w:r>
        <w:br w:type="page"/>
      </w:r>
    </w:p>
    <w:p w14:paraId="775D8477" w14:textId="7139795D" w:rsidR="00DC62E6" w:rsidRDefault="00DC62E6" w:rsidP="00124D59">
      <w:pPr>
        <w:rPr>
          <w:szCs w:val="24"/>
        </w:rPr>
      </w:pPr>
    </w:p>
    <w:p w14:paraId="2535B509" w14:textId="186EE8B9" w:rsidR="00D3767D" w:rsidRPr="00470C95" w:rsidRDefault="00D3767D" w:rsidP="585CE774">
      <w:pPr>
        <w:rPr>
          <w:b/>
          <w:bCs/>
          <w:sz w:val="36"/>
          <w:szCs w:val="36"/>
        </w:rPr>
      </w:pPr>
      <w:r w:rsidRPr="585CE774">
        <w:rPr>
          <w:b/>
          <w:bCs/>
          <w:sz w:val="36"/>
          <w:szCs w:val="36"/>
        </w:rPr>
        <w:t>PART 2</w:t>
      </w:r>
      <w:r>
        <w:tab/>
      </w:r>
    </w:p>
    <w:p w14:paraId="71E2BB80" w14:textId="77777777" w:rsidR="00D3767D" w:rsidRPr="00470C95" w:rsidRDefault="00D3767D" w:rsidP="585CE774">
      <w:pPr>
        <w:rPr>
          <w:b/>
          <w:bCs/>
          <w:sz w:val="36"/>
          <w:szCs w:val="36"/>
        </w:rPr>
      </w:pPr>
    </w:p>
    <w:p w14:paraId="44F1CDAF" w14:textId="06DC12D1" w:rsidR="00D939FA" w:rsidRDefault="00484581" w:rsidP="00124D59">
      <w:pPr>
        <w:rPr>
          <w:b/>
          <w:bCs/>
          <w:sz w:val="36"/>
          <w:szCs w:val="36"/>
        </w:rPr>
      </w:pPr>
      <w:r w:rsidRPr="585CE774">
        <w:rPr>
          <w:b/>
          <w:bCs/>
          <w:sz w:val="36"/>
          <w:szCs w:val="36"/>
        </w:rPr>
        <w:t>OTHER</w:t>
      </w:r>
      <w:r w:rsidR="00D3767D" w:rsidRPr="585CE774">
        <w:rPr>
          <w:b/>
          <w:bCs/>
          <w:sz w:val="36"/>
          <w:szCs w:val="36"/>
        </w:rPr>
        <w:t xml:space="preserve"> PAYMENT</w:t>
      </w:r>
      <w:r w:rsidR="00F647F1" w:rsidRPr="585CE774">
        <w:rPr>
          <w:b/>
          <w:bCs/>
          <w:sz w:val="36"/>
          <w:szCs w:val="36"/>
        </w:rPr>
        <w:t>S AND ALLOWANCES</w:t>
      </w:r>
    </w:p>
    <w:p w14:paraId="445798DD" w14:textId="77777777" w:rsidR="00CA52F5" w:rsidRDefault="00CA52F5" w:rsidP="00124D59">
      <w:pPr>
        <w:rPr>
          <w:b/>
          <w:bCs/>
          <w:sz w:val="36"/>
          <w:szCs w:val="36"/>
        </w:rPr>
      </w:pPr>
    </w:p>
    <w:p w14:paraId="52393E65" w14:textId="5A01C4C2" w:rsidR="001E60FA" w:rsidRPr="00966766" w:rsidRDefault="00390114" w:rsidP="1657245B">
      <w:pPr>
        <w:ind w:left="720" w:hanging="720"/>
        <w:rPr>
          <w:b/>
          <w:bCs/>
          <w:sz w:val="36"/>
          <w:szCs w:val="36"/>
        </w:rPr>
      </w:pPr>
      <w:bookmarkStart w:id="30" w:name="TLRPay"/>
      <w:r w:rsidRPr="1657245B">
        <w:rPr>
          <w:b/>
          <w:bCs/>
          <w:sz w:val="36"/>
          <w:szCs w:val="36"/>
        </w:rPr>
        <w:t>1</w:t>
      </w:r>
      <w:r w:rsidR="003D0661" w:rsidRPr="1657245B">
        <w:rPr>
          <w:b/>
          <w:bCs/>
          <w:sz w:val="36"/>
          <w:szCs w:val="36"/>
        </w:rPr>
        <w:t>7</w:t>
      </w:r>
      <w:r>
        <w:tab/>
      </w:r>
      <w:r w:rsidR="001E60FA" w:rsidRPr="1657245B">
        <w:rPr>
          <w:b/>
          <w:bCs/>
          <w:sz w:val="36"/>
          <w:szCs w:val="36"/>
        </w:rPr>
        <w:t xml:space="preserve">Teaching and Learning Responsibility </w:t>
      </w:r>
      <w:r>
        <w:tab/>
      </w:r>
      <w:r>
        <w:tab/>
      </w:r>
      <w:r w:rsidR="001E60FA" w:rsidRPr="1657245B">
        <w:rPr>
          <w:b/>
          <w:bCs/>
          <w:sz w:val="36"/>
          <w:szCs w:val="36"/>
        </w:rPr>
        <w:t>Payments</w:t>
      </w:r>
    </w:p>
    <w:bookmarkEnd w:id="30"/>
    <w:p w14:paraId="791B987B" w14:textId="77777777" w:rsidR="001E60FA" w:rsidRPr="0047080B" w:rsidRDefault="001E60FA" w:rsidP="001E60FA">
      <w:pPr>
        <w:rPr>
          <w:b/>
          <w:szCs w:val="24"/>
        </w:rPr>
      </w:pPr>
    </w:p>
    <w:p w14:paraId="32B5A730" w14:textId="4E988EB8" w:rsidR="001E60FA" w:rsidRPr="0047080B" w:rsidRDefault="00390114" w:rsidP="001E60FA">
      <w:pPr>
        <w:rPr>
          <w:szCs w:val="24"/>
        </w:rPr>
      </w:pPr>
      <w:r>
        <w:rPr>
          <w:szCs w:val="24"/>
        </w:rPr>
        <w:t>1</w:t>
      </w:r>
      <w:r w:rsidR="003D0661">
        <w:rPr>
          <w:szCs w:val="24"/>
        </w:rPr>
        <w:t>7</w:t>
      </w:r>
      <w:r w:rsidR="001E60FA">
        <w:rPr>
          <w:szCs w:val="24"/>
        </w:rPr>
        <w:t>.1</w:t>
      </w:r>
      <w:r w:rsidR="001E60FA">
        <w:rPr>
          <w:szCs w:val="24"/>
        </w:rPr>
        <w:tab/>
      </w:r>
      <w:r w:rsidR="001E60FA" w:rsidRPr="0047080B">
        <w:rPr>
          <w:szCs w:val="24"/>
        </w:rPr>
        <w:t>In this school, the annual values of TLR payments are</w:t>
      </w:r>
      <w:r w:rsidR="001E60FA">
        <w:rPr>
          <w:szCs w:val="24"/>
        </w:rPr>
        <w:t xml:space="preserve"> </w:t>
      </w:r>
      <w:r w:rsidR="001E60FA" w:rsidRPr="002374DC">
        <w:rPr>
          <w:szCs w:val="24"/>
        </w:rPr>
        <w:t xml:space="preserve">set out in </w:t>
      </w:r>
      <w:hyperlink w:anchor="TLRPR" w:history="1">
        <w:r w:rsidR="001E60FA" w:rsidRPr="0044691D">
          <w:rPr>
            <w:rStyle w:val="Hyperlink"/>
            <w:szCs w:val="24"/>
          </w:rPr>
          <w:t>Appendix 3.</w:t>
        </w:r>
      </w:hyperlink>
    </w:p>
    <w:p w14:paraId="7DDBA3B1" w14:textId="77777777" w:rsidR="001E60FA" w:rsidRDefault="001E60FA" w:rsidP="001E60FA">
      <w:pPr>
        <w:rPr>
          <w:szCs w:val="24"/>
        </w:rPr>
      </w:pPr>
    </w:p>
    <w:p w14:paraId="6E23B389" w14:textId="32D91262" w:rsidR="001E60FA" w:rsidRDefault="003D0661" w:rsidP="001E60FA">
      <w:pPr>
        <w:ind w:left="720" w:hanging="720"/>
      </w:pPr>
      <w:r>
        <w:t>17</w:t>
      </w:r>
      <w:r w:rsidR="001E60FA">
        <w:t>.2</w:t>
      </w:r>
      <w:r w:rsidR="001E60FA">
        <w:tab/>
      </w:r>
      <w:r w:rsidR="001E60FA" w:rsidRPr="585CE774">
        <w:rPr>
          <w:b/>
          <w:bCs/>
        </w:rPr>
        <w:t>TLR payments will not be awarded to members of the leadership group or leading practitioners.</w:t>
      </w:r>
    </w:p>
    <w:p w14:paraId="6AAB80E2" w14:textId="77777777" w:rsidR="001E60FA" w:rsidRPr="0047080B" w:rsidRDefault="001E60FA" w:rsidP="001E60FA">
      <w:pPr>
        <w:rPr>
          <w:szCs w:val="24"/>
        </w:rPr>
      </w:pPr>
    </w:p>
    <w:p w14:paraId="507C5084" w14:textId="6DF8A2C1" w:rsidR="001E60FA" w:rsidRDefault="003D0661" w:rsidP="001E60FA">
      <w:pPr>
        <w:ind w:left="720" w:hanging="720"/>
        <w:rPr>
          <w:rFonts w:eastAsia="Arial"/>
          <w:highlight w:val="green"/>
        </w:rPr>
      </w:pPr>
      <w:r>
        <w:t>17</w:t>
      </w:r>
      <w:r w:rsidR="001E60FA">
        <w:t>.</w:t>
      </w:r>
      <w:r w:rsidR="008E638B">
        <w:t>3</w:t>
      </w:r>
      <w:r>
        <w:tab/>
      </w:r>
      <w:r w:rsidR="001E60FA">
        <w:t>TLR payments will be awarded to classroom teachers in accordance with the STPCD.  TLRs will be assigned to specific posts within the school’s staffing structure. The responsibilities for which a TLR1 or TLR2 is awarded should be clearly set out in the job description of the post holder.</w:t>
      </w:r>
      <w:r w:rsidR="4A1BF94B" w:rsidRPr="5BD2FCF6">
        <w:rPr>
          <w:rFonts w:eastAsia="Arial"/>
        </w:rPr>
        <w:t xml:space="preserve"> When determining the value of a TLR1 or TLR2 payment the relevant body must act fairly and appropriately, and records should be kept to document that appropriate consideration was given when determining the value of a TLR and why the value was applied.</w:t>
      </w:r>
    </w:p>
    <w:p w14:paraId="4C29BFCE" w14:textId="77777777" w:rsidR="001E60FA" w:rsidRDefault="001E60FA" w:rsidP="585CE774">
      <w:pPr>
        <w:ind w:left="720" w:hanging="720"/>
      </w:pPr>
    </w:p>
    <w:p w14:paraId="78B0123B" w14:textId="78E1A608" w:rsidR="001E60FA" w:rsidRPr="00B739F0" w:rsidRDefault="003D0661" w:rsidP="585CE774">
      <w:pPr>
        <w:ind w:left="720" w:hanging="720"/>
      </w:pPr>
      <w:r>
        <w:t>17</w:t>
      </w:r>
      <w:r w:rsidR="001E60FA">
        <w:t>.</w:t>
      </w:r>
      <w:r w:rsidR="008E638B">
        <w:t>4</w:t>
      </w:r>
      <w:r w:rsidR="001E60FA">
        <w:tab/>
        <w:t xml:space="preserve">With the exception of sub-paragraphs (c) and (e), which do not have to apply to the award of TLR3s, before awarding any TLR the Governing Board must be satisfied that the teacher’s duties include a significant responsibility that is not required of all classroom teachers and that: </w:t>
      </w:r>
    </w:p>
    <w:p w14:paraId="15B85DD1" w14:textId="77777777" w:rsidR="001E60FA" w:rsidRPr="00B739F0" w:rsidRDefault="001E60FA" w:rsidP="585CE774">
      <w:pPr>
        <w:ind w:left="720"/>
      </w:pPr>
    </w:p>
    <w:p w14:paraId="5CF3E27B" w14:textId="77777777" w:rsidR="001E60FA" w:rsidRPr="00B739F0" w:rsidRDefault="001E60FA" w:rsidP="585CE774">
      <w:pPr>
        <w:ind w:left="720"/>
      </w:pPr>
      <w:r>
        <w:t xml:space="preserve">a) is focused on teaching and </w:t>
      </w:r>
      <w:proofErr w:type="gramStart"/>
      <w:r>
        <w:t>learning;</w:t>
      </w:r>
      <w:proofErr w:type="gramEnd"/>
      <w:r>
        <w:t xml:space="preserve"> </w:t>
      </w:r>
    </w:p>
    <w:p w14:paraId="1344746F" w14:textId="77777777" w:rsidR="001E60FA" w:rsidRPr="00B739F0" w:rsidRDefault="001E60FA" w:rsidP="585CE774">
      <w:pPr>
        <w:ind w:left="720"/>
      </w:pPr>
      <w:r>
        <w:t xml:space="preserve">b) requires the exercise of a teacher’s professional skills and </w:t>
      </w:r>
      <w:proofErr w:type="gramStart"/>
      <w:r>
        <w:t>judgement;</w:t>
      </w:r>
      <w:proofErr w:type="gramEnd"/>
      <w:r>
        <w:t xml:space="preserve"> </w:t>
      </w:r>
    </w:p>
    <w:p w14:paraId="44338171" w14:textId="77777777" w:rsidR="001E60FA" w:rsidRPr="00B739F0" w:rsidRDefault="001E60FA" w:rsidP="585CE774">
      <w:pPr>
        <w:ind w:left="720"/>
      </w:pPr>
      <w:r>
        <w:t xml:space="preserve">c) requires the teacher to lead, manage and develop a subject or curriculum area; or to lead and manage pupil development across the </w:t>
      </w:r>
      <w:proofErr w:type="gramStart"/>
      <w:r>
        <w:t>curriculum;</w:t>
      </w:r>
      <w:proofErr w:type="gramEnd"/>
      <w:r>
        <w:t xml:space="preserve"> </w:t>
      </w:r>
    </w:p>
    <w:p w14:paraId="06F9B1F5" w14:textId="77777777" w:rsidR="001E60FA" w:rsidRPr="00B739F0" w:rsidRDefault="001E60FA" w:rsidP="585CE774">
      <w:pPr>
        <w:ind w:left="720"/>
      </w:pPr>
      <w:r>
        <w:t xml:space="preserve">d) has an impact on the educational progress of pupils other than the teacher’s assigned classes or groups of pupils; and </w:t>
      </w:r>
    </w:p>
    <w:p w14:paraId="342CB8AE" w14:textId="77777777" w:rsidR="001E60FA" w:rsidRPr="00B739F0" w:rsidRDefault="001E60FA" w:rsidP="585CE774">
      <w:pPr>
        <w:ind w:left="720"/>
      </w:pPr>
      <w:r>
        <w:t xml:space="preserve">e) involves leading, developing and enhancing the teaching practice of other staff. </w:t>
      </w:r>
    </w:p>
    <w:p w14:paraId="1812C346" w14:textId="363C252C" w:rsidR="6BEBBADE" w:rsidRDefault="6BEBBADE" w:rsidP="6BEBBADE">
      <w:pPr>
        <w:ind w:left="720"/>
      </w:pPr>
    </w:p>
    <w:p w14:paraId="2714957D" w14:textId="0022E206" w:rsidR="001E60FA" w:rsidRPr="00B739F0" w:rsidRDefault="61D4F1F3" w:rsidP="5BD2FCF6">
      <w:pPr>
        <w:spacing w:line="259" w:lineRule="auto"/>
        <w:ind w:left="720" w:hanging="720"/>
        <w:rPr>
          <w:rFonts w:eastAsia="Arial"/>
        </w:rPr>
      </w:pPr>
      <w:r>
        <w:t>17.5</w:t>
      </w:r>
      <w:r>
        <w:tab/>
      </w:r>
      <w:r w:rsidR="7BE922FF">
        <w:t>From September 2025 t</w:t>
      </w:r>
      <w:r w:rsidR="27F8EE2B">
        <w:t xml:space="preserve">he relevant body must determine </w:t>
      </w:r>
      <w:r w:rsidR="6BF00305">
        <w:t xml:space="preserve">the specific value </w:t>
      </w:r>
      <w:r w:rsidR="27F8EE2B">
        <w:t>for every new</w:t>
      </w:r>
      <w:r w:rsidR="1C2920F4">
        <w:t>ly created TLR</w:t>
      </w:r>
      <w:r w:rsidR="10C74977">
        <w:t xml:space="preserve"> 1 or 2</w:t>
      </w:r>
      <w:r w:rsidR="572D1511">
        <w:t>,</w:t>
      </w:r>
      <w:r w:rsidR="434ADA50">
        <w:t xml:space="preserve"> based on the proportion of the TLR responsibility the postholder will be undertaking i.e.</w:t>
      </w:r>
      <w:r w:rsidR="0581A759" w:rsidRPr="5BD2FCF6">
        <w:rPr>
          <w:rFonts w:eastAsia="Arial"/>
        </w:rPr>
        <w:t xml:space="preserve"> the proportion of the full-time equivalent responsibility</w:t>
      </w:r>
      <w:r w:rsidR="1133A124" w:rsidRPr="5BD2FCF6">
        <w:rPr>
          <w:rFonts w:eastAsia="Arial"/>
        </w:rPr>
        <w:t>.</w:t>
      </w:r>
      <w:r w:rsidR="4B295790">
        <w:t xml:space="preserve"> It is now possible for a part time teacher to undertake full</w:t>
      </w:r>
      <w:r w:rsidR="53531F4C">
        <w:t xml:space="preserve"> responsibilities of a</w:t>
      </w:r>
      <w:r w:rsidR="4B295790">
        <w:t xml:space="preserve"> TLR</w:t>
      </w:r>
      <w:r w:rsidR="6D60259F">
        <w:t xml:space="preserve"> </w:t>
      </w:r>
      <w:r w:rsidR="3F6578A5">
        <w:t xml:space="preserve">1 or 2 </w:t>
      </w:r>
      <w:r w:rsidR="6D60259F">
        <w:t>(rather than a proportion)</w:t>
      </w:r>
      <w:r w:rsidR="4B295790">
        <w:t xml:space="preserve"> and be paid for the full TLR without the need for the </w:t>
      </w:r>
      <w:r w:rsidR="2F81B451">
        <w:t>p</w:t>
      </w:r>
      <w:r w:rsidR="4B295790">
        <w:t>ayment to be pro rata</w:t>
      </w:r>
      <w:r w:rsidR="0A8CB5FB">
        <w:t>, similarly it is possible to award a part time TLR to a full time teacher where the TLR is being sh</w:t>
      </w:r>
      <w:r w:rsidR="04B902B9">
        <w:t xml:space="preserve">ared with another Teacher. </w:t>
      </w:r>
      <w:r w:rsidR="4D3F070E" w:rsidRPr="5BD2FCF6">
        <w:rPr>
          <w:rFonts w:eastAsia="Arial"/>
        </w:rPr>
        <w:t>Posts of equal weight should be allocated equal value.</w:t>
      </w:r>
      <w:r w:rsidR="491B64DC" w:rsidRPr="5BD2FCF6">
        <w:rPr>
          <w:rFonts w:eastAsia="Arial"/>
        </w:rPr>
        <w:t xml:space="preserve"> This must be in line with the STPCD and TLR responsibilities must be clearly outlined in job descriptions.</w:t>
      </w:r>
    </w:p>
    <w:p w14:paraId="32B5B94A" w14:textId="152335C3" w:rsidR="001E60FA" w:rsidRPr="00B739F0" w:rsidRDefault="001E60FA" w:rsidP="4FFB801D">
      <w:pPr>
        <w:spacing w:line="259" w:lineRule="auto"/>
        <w:ind w:left="720" w:hanging="720"/>
        <w:rPr>
          <w:rFonts w:eastAsia="Arial"/>
          <w:highlight w:val="green"/>
        </w:rPr>
      </w:pPr>
    </w:p>
    <w:p w14:paraId="009209B4" w14:textId="015CC68B" w:rsidR="001E60FA" w:rsidRPr="00B739F0" w:rsidRDefault="003D0661" w:rsidP="585CE774">
      <w:pPr>
        <w:ind w:left="720" w:hanging="720"/>
      </w:pPr>
      <w:r>
        <w:t>17</w:t>
      </w:r>
      <w:r w:rsidR="001E60FA">
        <w:t>.</w:t>
      </w:r>
      <w:r w:rsidR="48D26D79">
        <w:t>6</w:t>
      </w:r>
      <w:r w:rsidR="001E60FA">
        <w:tab/>
        <w:t>Before awarding a TLR1, the relevant body must be satisfied that the sustained, additional responsibility includes line management responsibility for a significant number of people.</w:t>
      </w:r>
    </w:p>
    <w:p w14:paraId="7D8AEC3E" w14:textId="77777777" w:rsidR="001E60FA" w:rsidRPr="0047080B" w:rsidRDefault="001E60FA" w:rsidP="001E60FA">
      <w:pPr>
        <w:rPr>
          <w:szCs w:val="24"/>
        </w:rPr>
      </w:pPr>
    </w:p>
    <w:p w14:paraId="648FEA3D" w14:textId="164F554D" w:rsidR="001E60FA" w:rsidRPr="00082177" w:rsidRDefault="08F3382A" w:rsidP="001E60FA">
      <w:pPr>
        <w:ind w:left="720" w:hanging="720"/>
      </w:pPr>
      <w:r>
        <w:t>17</w:t>
      </w:r>
      <w:r w:rsidR="46177338">
        <w:t>.</w:t>
      </w:r>
      <w:r w:rsidR="051BF998">
        <w:t>7</w:t>
      </w:r>
      <w:r>
        <w:tab/>
      </w:r>
      <w:r w:rsidR="46177338">
        <w:t xml:space="preserve">A TLR3 is a fixed-term award.  The Governing Board will consider the award of a fixed term TLR 3, where appropriate, in line with the STPCD. TLR3s may be awarded only for clearly time-limited school improvement projects or one-off externally driven responsibilities. The fixed-term for which they are to be awarded must be established at the outset of the award and payment should be made </w:t>
      </w:r>
      <w:proofErr w:type="gramStart"/>
      <w:r w:rsidR="46177338">
        <w:t>on a monthly basis</w:t>
      </w:r>
      <w:proofErr w:type="gramEnd"/>
      <w:r w:rsidR="46177338">
        <w:t xml:space="preserve"> for the duration of the fixed-term. The Governing Board will not award consecutive TLR3s for the same responsibility unless that responsibility relates to tutoring to deliver catch-up support to pupils on learning lost during the pandemic. TLR3s are not subject to safeguarding.  In this school, the annual value of a TLR 3 will be no less than </w:t>
      </w:r>
      <w:r w:rsidR="4356EDEF">
        <w:t>£</w:t>
      </w:r>
      <w:r w:rsidR="729D6CED">
        <w:t>702</w:t>
      </w:r>
      <w:r w:rsidR="56640643">
        <w:t xml:space="preserve"> </w:t>
      </w:r>
      <w:r w:rsidR="46177338">
        <w:t xml:space="preserve">and no greater than </w:t>
      </w:r>
      <w:r w:rsidR="08EDA3F1">
        <w:t>£3,</w:t>
      </w:r>
      <w:r w:rsidR="31B4FE70">
        <w:t>478</w:t>
      </w:r>
      <w:r w:rsidR="08EDA3F1">
        <w:t>.</w:t>
      </w:r>
      <w:r w:rsidR="44145206">
        <w:t xml:space="preserve"> The pro rata principle does not apply for TLR 3 payments.</w:t>
      </w:r>
    </w:p>
    <w:p w14:paraId="787E5FFD" w14:textId="04DB4406" w:rsidR="001E60FA" w:rsidRPr="00082177" w:rsidRDefault="001E60FA" w:rsidP="5BD2FCF6">
      <w:pPr>
        <w:ind w:left="720" w:hanging="720"/>
      </w:pPr>
    </w:p>
    <w:p w14:paraId="233571AF" w14:textId="2FD3C2BF" w:rsidR="001E60FA" w:rsidRDefault="003D0661" w:rsidP="001E60FA">
      <w:pPr>
        <w:ind w:left="720" w:hanging="720"/>
      </w:pPr>
      <w:r>
        <w:t>17</w:t>
      </w:r>
      <w:r w:rsidR="001E60FA">
        <w:t>.</w:t>
      </w:r>
      <w:r w:rsidR="524A91C2">
        <w:t>8</w:t>
      </w:r>
      <w:r w:rsidR="001E60FA">
        <w:tab/>
        <w:t>A teacher will not be awarded more than one TLR 1 and TLR 2 concurrently, but the Governing Board may consider the award of a concurrent TLR 3.</w:t>
      </w:r>
    </w:p>
    <w:p w14:paraId="54571B51" w14:textId="77777777" w:rsidR="001E60FA" w:rsidRDefault="001E60FA" w:rsidP="001E60FA">
      <w:pPr>
        <w:ind w:left="720" w:hanging="720"/>
        <w:rPr>
          <w:szCs w:val="24"/>
        </w:rPr>
      </w:pPr>
    </w:p>
    <w:p w14:paraId="260CF73E" w14:textId="7FCF4A1A" w:rsidR="001E60FA" w:rsidRPr="00B739F0" w:rsidRDefault="08F3382A" w:rsidP="4FFB801D">
      <w:pPr>
        <w:ind w:left="720" w:hanging="720"/>
      </w:pPr>
      <w:r>
        <w:rPr>
          <w:shd w:val="clear" w:color="auto" w:fill="FFFFFF" w:themeFill="background1"/>
        </w:rPr>
        <w:t>17</w:t>
      </w:r>
      <w:r w:rsidR="46177338" w:rsidRPr="00AD0FCE">
        <w:rPr>
          <w:shd w:val="clear" w:color="auto" w:fill="FFFFFF" w:themeFill="background1"/>
        </w:rPr>
        <w:t>.</w:t>
      </w:r>
      <w:r w:rsidR="0F9A1194" w:rsidRPr="00AD0FCE">
        <w:rPr>
          <w:shd w:val="clear" w:color="auto" w:fill="FFFFFF" w:themeFill="background1"/>
        </w:rPr>
        <w:t>9</w:t>
      </w:r>
      <w:r w:rsidR="00AD0FCE">
        <w:rPr>
          <w:szCs w:val="24"/>
          <w:shd w:val="clear" w:color="auto" w:fill="FFFFFF" w:themeFill="background1"/>
        </w:rPr>
        <w:tab/>
      </w:r>
      <w:r w:rsidR="46177338" w:rsidRPr="00AD0FCE">
        <w:rPr>
          <w:shd w:val="clear" w:color="auto" w:fill="FFFFFF" w:themeFill="background1"/>
        </w:rPr>
        <w:t>A teacher</w:t>
      </w:r>
      <w:r w:rsidR="46177338" w:rsidRPr="00AD0FCE">
        <w:t xml:space="preserve"> can request to relinquish a TLR</w:t>
      </w:r>
      <w:r w:rsidR="091911A8" w:rsidRPr="00AD0FCE">
        <w:t xml:space="preserve"> </w:t>
      </w:r>
      <w:r w:rsidR="091911A8" w:rsidRPr="5BD2FCF6">
        <w:t>in full or a proportion of it (so the responsibilities are shared within another teacher)</w:t>
      </w:r>
      <w:r w:rsidR="46177338" w:rsidRPr="00AD0FCE">
        <w:t xml:space="preserve"> </w:t>
      </w:r>
      <w:r w:rsidR="57638CCF" w:rsidRPr="00AD0FCE">
        <w:t xml:space="preserve">headteachers must consider </w:t>
      </w:r>
      <w:r w:rsidR="05F8515C" w:rsidRPr="00AD0FCE">
        <w:t>any request</w:t>
      </w:r>
      <w:r w:rsidR="57638CCF" w:rsidRPr="00AD0FCE">
        <w:t xml:space="preserve"> </w:t>
      </w:r>
      <w:r w:rsidR="46177338" w:rsidRPr="00AD0FCE">
        <w:t xml:space="preserve">however there is no automatic right that this would be approved.  Requests to relinquish the TLR should be put in writing to the Headteacher and will be considered on a </w:t>
      </w:r>
      <w:proofErr w:type="gramStart"/>
      <w:r w:rsidR="46177338" w:rsidRPr="00AD0FCE">
        <w:t>case by case</w:t>
      </w:r>
      <w:proofErr w:type="gramEnd"/>
      <w:r w:rsidR="46177338" w:rsidRPr="00AD0FCE">
        <w:t xml:space="preserve"> basis.</w:t>
      </w:r>
      <w:r w:rsidR="01034F38" w:rsidRPr="00AD0FCE">
        <w:t xml:space="preserve"> </w:t>
      </w:r>
      <w:r w:rsidR="01034F38" w:rsidRPr="68F17569">
        <w:t xml:space="preserve">Consideration </w:t>
      </w:r>
      <w:r w:rsidR="5B4B42CD" w:rsidRPr="68F17569">
        <w:t>should</w:t>
      </w:r>
      <w:r w:rsidR="01034F38" w:rsidRPr="68F17569">
        <w:t xml:space="preserve"> be given as to whether the TLR </w:t>
      </w:r>
      <w:r w:rsidR="3E3B07EC" w:rsidRPr="68F17569">
        <w:t xml:space="preserve">the teacher wishes to relinquish </w:t>
      </w:r>
      <w:r w:rsidR="01034F38" w:rsidRPr="68F17569">
        <w:t xml:space="preserve">could be reallocated </w:t>
      </w:r>
      <w:r w:rsidR="7ABB168E" w:rsidRPr="68F17569">
        <w:t>differently i.e. explore whether the TLR could be split between more than one person</w:t>
      </w:r>
      <w:r w:rsidR="69E06CD2" w:rsidRPr="68F17569">
        <w:t>.</w:t>
      </w:r>
      <w:r w:rsidR="46177338" w:rsidRPr="00AD0FCE">
        <w:t xml:space="preserve"> Where agreement is reached for a teacher to voluntarily relinquish a TLR, </w:t>
      </w:r>
      <w:r w:rsidR="46177338" w:rsidRPr="4FFB801D">
        <w:t xml:space="preserve">there is no entitlement to pay safeguarding. Where agreement </w:t>
      </w:r>
      <w:proofErr w:type="spellStart"/>
      <w:r w:rsidR="46177338" w:rsidRPr="4FFB801D">
        <w:t>can not</w:t>
      </w:r>
      <w:proofErr w:type="spellEnd"/>
      <w:r w:rsidR="46177338" w:rsidRPr="4FFB801D">
        <w:t xml:space="preserve"> be reached the</w:t>
      </w:r>
      <w:r w:rsidR="46177338" w:rsidRPr="4FFB801D">
        <w:rPr>
          <w:shd w:val="clear" w:color="auto" w:fill="FFFFFF"/>
        </w:rPr>
        <w:t xml:space="preserve"> teacher will be required to continue to undertake the TLR</w:t>
      </w:r>
      <w:r w:rsidR="785F30A9" w:rsidRPr="4FFB801D">
        <w:rPr>
          <w:shd w:val="clear" w:color="auto" w:fill="FFFFFF"/>
        </w:rPr>
        <w:t xml:space="preserve"> or a proportion of it</w:t>
      </w:r>
      <w:r w:rsidR="46177338" w:rsidRPr="4FFB801D">
        <w:rPr>
          <w:shd w:val="clear" w:color="auto" w:fill="FFFFFF"/>
        </w:rPr>
        <w:t>.</w:t>
      </w:r>
    </w:p>
    <w:p w14:paraId="60252088" w14:textId="678BD15D" w:rsidR="49CFA1B9" w:rsidRDefault="49CFA1B9" w:rsidP="4FFB801D">
      <w:pPr>
        <w:ind w:left="720" w:hanging="720"/>
      </w:pPr>
    </w:p>
    <w:p w14:paraId="503A483E" w14:textId="139D0DF9" w:rsidR="001E60FA" w:rsidRPr="007666D6" w:rsidRDefault="00390114" w:rsidP="49CFA1B9">
      <w:pPr>
        <w:rPr>
          <w:b/>
          <w:bCs/>
          <w:sz w:val="36"/>
          <w:szCs w:val="36"/>
        </w:rPr>
      </w:pPr>
      <w:bookmarkStart w:id="31" w:name="SEN"/>
      <w:r w:rsidRPr="49CFA1B9">
        <w:rPr>
          <w:b/>
          <w:bCs/>
          <w:sz w:val="36"/>
          <w:szCs w:val="36"/>
        </w:rPr>
        <w:t>1</w:t>
      </w:r>
      <w:r w:rsidR="003D0661" w:rsidRPr="49CFA1B9">
        <w:rPr>
          <w:b/>
          <w:bCs/>
          <w:sz w:val="36"/>
          <w:szCs w:val="36"/>
        </w:rPr>
        <w:t>8</w:t>
      </w:r>
      <w:r>
        <w:tab/>
      </w:r>
      <w:r w:rsidR="001E60FA" w:rsidRPr="49CFA1B9">
        <w:rPr>
          <w:b/>
          <w:bCs/>
          <w:sz w:val="36"/>
          <w:szCs w:val="36"/>
        </w:rPr>
        <w:t>Special Educational Needs Allowance</w:t>
      </w:r>
    </w:p>
    <w:p w14:paraId="7AE9609D" w14:textId="2F301CB9" w:rsidR="001E60FA" w:rsidRPr="0047080B" w:rsidRDefault="001E60FA" w:rsidP="00A11B1F">
      <w:pPr>
        <w:rPr>
          <w:b/>
          <w:i/>
          <w:szCs w:val="24"/>
        </w:rPr>
      </w:pPr>
      <w:bookmarkStart w:id="32" w:name="REVSEN21"/>
      <w:bookmarkStart w:id="33" w:name="Section22"/>
      <w:bookmarkEnd w:id="31"/>
    </w:p>
    <w:bookmarkEnd w:id="32"/>
    <w:bookmarkEnd w:id="33"/>
    <w:p w14:paraId="662C6882" w14:textId="77777777" w:rsidR="001E60FA" w:rsidRPr="0047080B" w:rsidRDefault="001E60FA" w:rsidP="001E60FA">
      <w:pPr>
        <w:rPr>
          <w:b/>
          <w:i/>
          <w:szCs w:val="24"/>
        </w:rPr>
      </w:pPr>
    </w:p>
    <w:p w14:paraId="50B23EA2" w14:textId="25A8C90D" w:rsidR="001E60FA" w:rsidRPr="0047080B" w:rsidRDefault="00390114" w:rsidP="001E60FA">
      <w:pPr>
        <w:ind w:left="720" w:hanging="720"/>
      </w:pPr>
      <w:r>
        <w:t>1</w:t>
      </w:r>
      <w:r w:rsidR="003D0661">
        <w:t>8</w:t>
      </w:r>
      <w:r w:rsidR="001E60FA">
        <w:t>.1</w:t>
      </w:r>
      <w:r>
        <w:tab/>
      </w:r>
      <w:r w:rsidR="001E60FA">
        <w:t xml:space="preserve">All classroom teachers will be awarded an SEN allowance of no less than </w:t>
      </w:r>
      <w:r w:rsidR="00A9700E">
        <w:t>£2,</w:t>
      </w:r>
      <w:r w:rsidR="65B9B8E2">
        <w:t>787</w:t>
      </w:r>
      <w:r w:rsidR="001E60FA">
        <w:t>and no greater than</w:t>
      </w:r>
      <w:r w:rsidR="0039257B">
        <w:t xml:space="preserve"> </w:t>
      </w:r>
      <w:r w:rsidR="008A67BC">
        <w:t>£5,</w:t>
      </w:r>
      <w:r w:rsidR="472BF45A">
        <w:t>497</w:t>
      </w:r>
      <w:r w:rsidR="001E60FA" w:rsidRPr="00A11B1F">
        <w:t>.  In this school, the allowance will be £</w:t>
      </w:r>
      <w:r w:rsidR="00A11B1F" w:rsidRPr="00A11B1F">
        <w:t>2</w:t>
      </w:r>
      <w:r w:rsidR="00A11B1F">
        <w:t>,</w:t>
      </w:r>
      <w:r w:rsidR="00A11B1F" w:rsidRPr="00A11B1F">
        <w:t>787</w:t>
      </w:r>
      <w:r w:rsidR="001E60FA" w:rsidRPr="00A11B1F">
        <w:t>.</w:t>
      </w:r>
    </w:p>
    <w:p w14:paraId="6119ACE8" w14:textId="77777777" w:rsidR="001E60FA" w:rsidRPr="0047080B" w:rsidRDefault="001E60FA" w:rsidP="001E60FA">
      <w:pPr>
        <w:rPr>
          <w:szCs w:val="24"/>
        </w:rPr>
      </w:pPr>
    </w:p>
    <w:p w14:paraId="364B34D8" w14:textId="24EAA3F7" w:rsidR="00CA52F5" w:rsidRPr="00966766" w:rsidRDefault="00525244" w:rsidP="00CA52F5">
      <w:pPr>
        <w:ind w:left="720" w:hanging="720"/>
        <w:rPr>
          <w:b/>
          <w:sz w:val="36"/>
          <w:szCs w:val="36"/>
        </w:rPr>
      </w:pPr>
      <w:bookmarkStart w:id="34" w:name="TempAdditPay"/>
      <w:r>
        <w:rPr>
          <w:b/>
          <w:sz w:val="36"/>
          <w:szCs w:val="36"/>
        </w:rPr>
        <w:t>1</w:t>
      </w:r>
      <w:r w:rsidR="003D0661">
        <w:rPr>
          <w:b/>
          <w:sz w:val="36"/>
          <w:szCs w:val="36"/>
        </w:rPr>
        <w:t>9</w:t>
      </w:r>
      <w:r w:rsidR="00CA52F5" w:rsidRPr="00966766">
        <w:rPr>
          <w:b/>
          <w:sz w:val="36"/>
          <w:szCs w:val="36"/>
        </w:rPr>
        <w:tab/>
      </w:r>
      <w:bookmarkStart w:id="35" w:name="AddP"/>
      <w:r w:rsidR="00CA52F5" w:rsidRPr="00966766">
        <w:rPr>
          <w:b/>
          <w:sz w:val="36"/>
          <w:szCs w:val="36"/>
        </w:rPr>
        <w:t xml:space="preserve">Additional Payments </w:t>
      </w:r>
      <w:bookmarkEnd w:id="35"/>
    </w:p>
    <w:bookmarkEnd w:id="34"/>
    <w:p w14:paraId="3D96A01E" w14:textId="77777777" w:rsidR="001B5F5F" w:rsidRDefault="001B5F5F" w:rsidP="00CA52F5">
      <w:pPr>
        <w:rPr>
          <w:b/>
          <w:szCs w:val="24"/>
        </w:rPr>
      </w:pPr>
    </w:p>
    <w:p w14:paraId="1A19D583" w14:textId="0674704B" w:rsidR="001B5F5F" w:rsidRPr="001B5F5F" w:rsidRDefault="00F52229" w:rsidP="00CA52F5">
      <w:pPr>
        <w:rPr>
          <w:b/>
          <w:sz w:val="28"/>
          <w:szCs w:val="28"/>
        </w:rPr>
      </w:pPr>
      <w:r>
        <w:rPr>
          <w:b/>
          <w:szCs w:val="24"/>
        </w:rPr>
        <w:tab/>
      </w:r>
      <w:r w:rsidRPr="001B5F5F">
        <w:rPr>
          <w:b/>
          <w:sz w:val="28"/>
          <w:szCs w:val="28"/>
        </w:rPr>
        <w:t xml:space="preserve">Temporary Additional Payments </w:t>
      </w:r>
      <w:r w:rsidR="001B5F5F" w:rsidRPr="001B5F5F">
        <w:rPr>
          <w:b/>
          <w:sz w:val="28"/>
          <w:szCs w:val="28"/>
        </w:rPr>
        <w:t>to Headteachers</w:t>
      </w:r>
    </w:p>
    <w:p w14:paraId="2012993B" w14:textId="0FF24975" w:rsidR="00CA52F5" w:rsidRPr="004D76AD" w:rsidRDefault="003D0661" w:rsidP="585CE774">
      <w:pPr>
        <w:ind w:left="720" w:hanging="720"/>
      </w:pPr>
      <w:r>
        <w:t>19</w:t>
      </w:r>
      <w:r w:rsidR="00CA52F5">
        <w:t>.1</w:t>
      </w:r>
      <w:r w:rsidR="008E638B">
        <w:tab/>
      </w:r>
      <w:r w:rsidR="00CA52F5">
        <w:t>In accordance with paragraph 10 of the STPCD, the Governing Board will consider awarding an additional payment to the Headteacher only for clearly temporary responsibilities or duties that are in addition to the post for which the salary has been determined.  In each case the relevant body must not have previously taken such reason or circumstance into account when determining the headteacher’s pay range.</w:t>
      </w:r>
    </w:p>
    <w:p w14:paraId="048D3724" w14:textId="77777777" w:rsidR="00CA52F5" w:rsidRPr="004D76AD" w:rsidRDefault="00CA52F5" w:rsidP="585CE774">
      <w:pPr>
        <w:rPr>
          <w:b/>
          <w:bCs/>
        </w:rPr>
      </w:pPr>
    </w:p>
    <w:p w14:paraId="3889173A" w14:textId="1E587B50" w:rsidR="00CA52F5" w:rsidRDefault="003D0661" w:rsidP="00CA52F5">
      <w:pPr>
        <w:ind w:left="720" w:hanging="720"/>
      </w:pPr>
      <w:r>
        <w:t>19</w:t>
      </w:r>
      <w:r w:rsidR="00CA52F5">
        <w:t>.2</w:t>
      </w:r>
      <w:r w:rsidR="008E638B">
        <w:tab/>
      </w:r>
      <w:r w:rsidR="00CA52F5">
        <w:t>The total sum of the temporary payments made to a headteacher in accordance with paragraph 10.1 of the STPCD in any school year must not exceed 25% of the annual salary which is otherwise payable to the headteacher, and the total sum of salary and other payments made to a headteacher (with the exception of payments in relation to residential duties which are a requirement of the post and any payment made in respect of housing or relocation expenses which relate solely to the personal circumstances of that headteacher)</w:t>
      </w:r>
      <w:r w:rsidR="7D482D2C">
        <w:t xml:space="preserve">.  In wholly exceptional circumstances </w:t>
      </w:r>
      <w:r w:rsidR="03AEC391">
        <w:t xml:space="preserve">and with the agreement of the Governing Board, the relevant body may determine that additional payments are to be made to the Headteacher which exceed the </w:t>
      </w:r>
      <w:r w:rsidR="7A91F78F">
        <w:t xml:space="preserve">25% </w:t>
      </w:r>
      <w:r w:rsidR="03AEC391">
        <w:t>limit</w:t>
      </w:r>
      <w:r w:rsidR="1B3F84F7">
        <w:t>. In such cases the Governing Board must seek external independent advice before producing a business case, seeking such agreement,</w:t>
      </w:r>
      <w:r w:rsidR="03AEC391">
        <w:t xml:space="preserve"> </w:t>
      </w:r>
      <w:r w:rsidR="00CA52F5">
        <w:t xml:space="preserve"> </w:t>
      </w:r>
    </w:p>
    <w:p w14:paraId="52A52DE7" w14:textId="77777777" w:rsidR="0025785F" w:rsidRDefault="0025785F" w:rsidP="00CA52F5">
      <w:pPr>
        <w:ind w:left="720" w:hanging="720"/>
      </w:pPr>
    </w:p>
    <w:p w14:paraId="34A6F62D" w14:textId="59999ED4" w:rsidR="009A2C23" w:rsidRDefault="003D0661" w:rsidP="009A2C23">
      <w:pPr>
        <w:ind w:left="720" w:hanging="720"/>
      </w:pPr>
      <w:r>
        <w:t>19</w:t>
      </w:r>
      <w:r w:rsidR="0025785F">
        <w:t>.3</w:t>
      </w:r>
      <w:r w:rsidR="008E638B">
        <w:tab/>
      </w:r>
      <w:r w:rsidR="00652FCE">
        <w:t xml:space="preserve">Any decisions to award a temporary payment to a headteacher </w:t>
      </w:r>
      <w:r w:rsidR="00735AF9">
        <w:t>will</w:t>
      </w:r>
      <w:r w:rsidR="00652FCE">
        <w:t xml:space="preserve"> </w:t>
      </w:r>
      <w:r w:rsidR="00B03B24">
        <w:t xml:space="preserve">be clearly justified with a written record of the decisions </w:t>
      </w:r>
      <w:r w:rsidR="00735AF9">
        <w:t xml:space="preserve">kept </w:t>
      </w:r>
      <w:r w:rsidR="008871D6">
        <w:t>ensuring</w:t>
      </w:r>
      <w:r w:rsidR="00735AF9">
        <w:t xml:space="preserve"> </w:t>
      </w:r>
      <w:r w:rsidR="00D8234D">
        <w:t>there is an audit trail</w:t>
      </w:r>
      <w:r w:rsidR="008871D6">
        <w:t>.</w:t>
      </w:r>
      <w:r w:rsidR="00D8234D">
        <w:t xml:space="preserve"> </w:t>
      </w:r>
      <w:r w:rsidR="00611650">
        <w:t xml:space="preserve">When keeping </w:t>
      </w:r>
      <w:r w:rsidR="008871D6">
        <w:t>records,</w:t>
      </w:r>
      <w:r w:rsidR="005B0133">
        <w:t xml:space="preserve"> </w:t>
      </w:r>
      <w:r w:rsidR="009065D4">
        <w:t xml:space="preserve">it is recommended </w:t>
      </w:r>
      <w:r w:rsidR="008871D6">
        <w:t>to</w:t>
      </w:r>
      <w:r w:rsidR="009065D4">
        <w:t xml:space="preserve"> </w:t>
      </w:r>
      <w:r w:rsidR="008871D6">
        <w:t>keep</w:t>
      </w:r>
      <w:r w:rsidR="009065D4">
        <w:t xml:space="preserve"> the </w:t>
      </w:r>
      <w:r w:rsidR="005B0133">
        <w:t xml:space="preserve">following </w:t>
      </w:r>
      <w:r w:rsidR="008871D6">
        <w:t>information:</w:t>
      </w:r>
      <w:r w:rsidR="005B0133">
        <w:t xml:space="preserve"> the nature of the additional responsibility, who h</w:t>
      </w:r>
      <w:r w:rsidR="00D45FD6">
        <w:t>a</w:t>
      </w:r>
      <w:r w:rsidR="005B0133">
        <w:t>s a</w:t>
      </w:r>
      <w:r w:rsidR="00D45FD6">
        <w:t xml:space="preserve">uthorised </w:t>
      </w:r>
      <w:r w:rsidR="005B0133">
        <w:t>it, the basis on which the amount was worked out</w:t>
      </w:r>
      <w:r w:rsidR="008871D6">
        <w:t>, when it will end of be reviewed</w:t>
      </w:r>
      <w:r w:rsidR="005B0133">
        <w:t xml:space="preserve"> and whether the payment is pensionable. </w:t>
      </w:r>
    </w:p>
    <w:p w14:paraId="4B4C18CC" w14:textId="77777777" w:rsidR="009A2C23" w:rsidRDefault="009A2C23" w:rsidP="009A2C23">
      <w:pPr>
        <w:ind w:left="720" w:hanging="720"/>
      </w:pPr>
    </w:p>
    <w:p w14:paraId="1A7E4CAE" w14:textId="2E2B137E" w:rsidR="009A2C23" w:rsidRPr="009A2C23" w:rsidRDefault="003D0661" w:rsidP="009A2C23">
      <w:pPr>
        <w:ind w:left="720" w:hanging="720"/>
      </w:pPr>
      <w:r>
        <w:t>19</w:t>
      </w:r>
      <w:r w:rsidR="009A2C23">
        <w:t>.4</w:t>
      </w:r>
      <w:r w:rsidR="008E638B">
        <w:tab/>
      </w:r>
      <w:r w:rsidR="009A2C23">
        <w:t xml:space="preserve">There is no other provision to award a headteacher with an additional </w:t>
      </w:r>
      <w:r w:rsidR="00866FC0">
        <w:t xml:space="preserve">payment therefore if appropriate, the Governing Board would review the pay range for the headteacher. </w:t>
      </w:r>
    </w:p>
    <w:p w14:paraId="2B45045E" w14:textId="77777777" w:rsidR="00E94866" w:rsidRDefault="00E94866" w:rsidP="00E94866">
      <w:pPr>
        <w:rPr>
          <w:b/>
          <w:sz w:val="36"/>
          <w:szCs w:val="36"/>
        </w:rPr>
      </w:pPr>
    </w:p>
    <w:p w14:paraId="2B1BFBC7" w14:textId="0401B681" w:rsidR="00E94866" w:rsidRPr="001B5F5F" w:rsidRDefault="001B5F5F" w:rsidP="00E94866">
      <w:pPr>
        <w:rPr>
          <w:b/>
          <w:color w:val="FF0000"/>
          <w:sz w:val="28"/>
          <w:szCs w:val="28"/>
        </w:rPr>
      </w:pPr>
      <w:r>
        <w:rPr>
          <w:b/>
          <w:color w:val="FF0000"/>
          <w:sz w:val="28"/>
          <w:szCs w:val="28"/>
        </w:rPr>
        <w:tab/>
      </w:r>
      <w:r w:rsidRPr="00DF5C37">
        <w:rPr>
          <w:b/>
          <w:sz w:val="28"/>
          <w:szCs w:val="28"/>
        </w:rPr>
        <w:t>Additional Payments for</w:t>
      </w:r>
      <w:r w:rsidR="000E54C7" w:rsidRPr="00DF5C37">
        <w:rPr>
          <w:b/>
          <w:sz w:val="28"/>
          <w:szCs w:val="28"/>
        </w:rPr>
        <w:t xml:space="preserve"> Teachers</w:t>
      </w:r>
    </w:p>
    <w:p w14:paraId="6B96C7F3" w14:textId="525A83CD" w:rsidR="00E94866" w:rsidRDefault="003D0661" w:rsidP="585CE774">
      <w:pPr>
        <w:ind w:left="720" w:hanging="720"/>
      </w:pPr>
      <w:r>
        <w:t>19</w:t>
      </w:r>
      <w:r w:rsidR="000E54C7">
        <w:t>.5</w:t>
      </w:r>
      <w:r w:rsidR="008E638B">
        <w:tab/>
      </w:r>
      <w:r w:rsidR="00E94866">
        <w:t xml:space="preserve">The Governing Board may make such payments as they see fit to a teacher, other than a headteacher in accordance with the provisions of the STPCD.  </w:t>
      </w:r>
    </w:p>
    <w:p w14:paraId="12819A22" w14:textId="77777777" w:rsidR="00E94866" w:rsidRDefault="00E94866" w:rsidP="585CE774">
      <w:pPr>
        <w:ind w:left="720" w:hanging="720"/>
      </w:pPr>
    </w:p>
    <w:p w14:paraId="1102D0B6" w14:textId="77777777" w:rsidR="00E94866" w:rsidRDefault="00E94866" w:rsidP="00E94866">
      <w:pPr>
        <w:ind w:left="720"/>
      </w:pPr>
      <w:r>
        <w:t>Specifically</w:t>
      </w:r>
      <w:r w:rsidRPr="585CE774">
        <w:rPr>
          <w:color w:val="FF0000"/>
        </w:rPr>
        <w:t xml:space="preserve"> </w:t>
      </w:r>
      <w:r>
        <w:t xml:space="preserve">in respect of: </w:t>
      </w:r>
    </w:p>
    <w:p w14:paraId="340D9F19" w14:textId="77777777" w:rsidR="00E94866" w:rsidRDefault="00E94866" w:rsidP="00E94866">
      <w:pPr>
        <w:ind w:left="720" w:hanging="720"/>
      </w:pPr>
    </w:p>
    <w:p w14:paraId="099D58C7" w14:textId="59338FD0" w:rsidR="00E94866" w:rsidRPr="003174F7" w:rsidRDefault="00E94866" w:rsidP="00D13A0A">
      <w:pPr>
        <w:pStyle w:val="ListParagraph"/>
        <w:numPr>
          <w:ilvl w:val="0"/>
          <w:numId w:val="25"/>
        </w:numPr>
        <w:ind w:left="1418" w:hanging="425"/>
        <w:rPr>
          <w:rFonts w:ascii="Arial" w:hAnsi="Arial" w:cs="Arial"/>
        </w:rPr>
      </w:pPr>
      <w:r w:rsidRPr="003174F7">
        <w:rPr>
          <w:rFonts w:ascii="Arial" w:hAnsi="Arial" w:cs="Arial"/>
        </w:rPr>
        <w:t xml:space="preserve">continuing professional development undertaken outside the school </w:t>
      </w:r>
      <w:proofErr w:type="gramStart"/>
      <w:r w:rsidRPr="003174F7">
        <w:rPr>
          <w:rFonts w:ascii="Arial" w:hAnsi="Arial" w:cs="Arial"/>
        </w:rPr>
        <w:t>day;</w:t>
      </w:r>
      <w:proofErr w:type="gramEnd"/>
      <w:r w:rsidRPr="003174F7">
        <w:rPr>
          <w:rFonts w:ascii="Arial" w:hAnsi="Arial" w:cs="Arial"/>
        </w:rPr>
        <w:t xml:space="preserve"> </w:t>
      </w:r>
    </w:p>
    <w:p w14:paraId="746383D6" w14:textId="3E06D99B" w:rsidR="00E94866" w:rsidRPr="003174F7" w:rsidRDefault="00E94866" w:rsidP="00D13A0A">
      <w:pPr>
        <w:pStyle w:val="ListParagraph"/>
        <w:numPr>
          <w:ilvl w:val="0"/>
          <w:numId w:val="25"/>
        </w:numPr>
        <w:ind w:left="1418" w:hanging="425"/>
        <w:rPr>
          <w:rFonts w:ascii="Arial" w:hAnsi="Arial" w:cs="Arial"/>
        </w:rPr>
      </w:pPr>
      <w:r w:rsidRPr="003174F7">
        <w:rPr>
          <w:rFonts w:ascii="Arial" w:hAnsi="Arial" w:cs="Arial"/>
        </w:rPr>
        <w:t xml:space="preserve">activities relating to the provision of initial teacher training as part of the ordinary conduct of the </w:t>
      </w:r>
      <w:proofErr w:type="gramStart"/>
      <w:r w:rsidRPr="003174F7">
        <w:rPr>
          <w:rFonts w:ascii="Arial" w:hAnsi="Arial" w:cs="Arial"/>
        </w:rPr>
        <w:t>school;</w:t>
      </w:r>
      <w:proofErr w:type="gramEnd"/>
      <w:r w:rsidRPr="003174F7">
        <w:rPr>
          <w:rFonts w:ascii="Arial" w:hAnsi="Arial" w:cs="Arial"/>
        </w:rPr>
        <w:t xml:space="preserve"> </w:t>
      </w:r>
    </w:p>
    <w:p w14:paraId="28C595C4" w14:textId="52B35641" w:rsidR="00E94866" w:rsidRPr="003174F7" w:rsidRDefault="00E94866" w:rsidP="00D13A0A">
      <w:pPr>
        <w:pStyle w:val="ListParagraph"/>
        <w:numPr>
          <w:ilvl w:val="0"/>
          <w:numId w:val="25"/>
        </w:numPr>
        <w:ind w:left="1418" w:hanging="425"/>
        <w:rPr>
          <w:rFonts w:ascii="Arial" w:hAnsi="Arial" w:cs="Arial"/>
        </w:rPr>
      </w:pPr>
      <w:r w:rsidRPr="003174F7">
        <w:rPr>
          <w:rFonts w:ascii="Arial" w:hAnsi="Arial" w:cs="Arial"/>
        </w:rPr>
        <w:t xml:space="preserve">participation in out-of-school hours learning activity agreed between the teacher and the </w:t>
      </w:r>
      <w:proofErr w:type="gramStart"/>
      <w:r w:rsidRPr="003174F7">
        <w:rPr>
          <w:rFonts w:ascii="Arial" w:hAnsi="Arial" w:cs="Arial"/>
        </w:rPr>
        <w:t>headteacher;</w:t>
      </w:r>
      <w:proofErr w:type="gramEnd"/>
      <w:r w:rsidRPr="003174F7">
        <w:rPr>
          <w:rFonts w:ascii="Arial" w:hAnsi="Arial" w:cs="Arial"/>
        </w:rPr>
        <w:t xml:space="preserve"> </w:t>
      </w:r>
    </w:p>
    <w:p w14:paraId="3F0F3EC5" w14:textId="1DA1AB95" w:rsidR="00E94866" w:rsidRPr="003174F7" w:rsidRDefault="00E94866" w:rsidP="00D13A0A">
      <w:pPr>
        <w:pStyle w:val="ListParagraph"/>
        <w:numPr>
          <w:ilvl w:val="0"/>
          <w:numId w:val="25"/>
        </w:numPr>
        <w:ind w:left="1418" w:hanging="425"/>
        <w:rPr>
          <w:rFonts w:ascii="Arial" w:hAnsi="Arial" w:cs="Arial"/>
        </w:rPr>
      </w:pPr>
      <w:r w:rsidRPr="003174F7">
        <w:rPr>
          <w:rFonts w:ascii="Arial" w:hAnsi="Arial" w:cs="Arial"/>
        </w:rPr>
        <w:t xml:space="preserve">additional responsibilities and activities due to, or in respect of, the provision of services relating to the raising of educational standards to one or more additional schools </w:t>
      </w:r>
    </w:p>
    <w:p w14:paraId="3D59BD4B" w14:textId="77777777" w:rsidR="007D0E55" w:rsidRDefault="007D0E55" w:rsidP="585CE774"/>
    <w:p w14:paraId="7E2D21B1" w14:textId="514511BD" w:rsidR="00A9455B" w:rsidRDefault="003D0661" w:rsidP="585CE774">
      <w:pPr>
        <w:ind w:left="720" w:hanging="720"/>
      </w:pPr>
      <w:r>
        <w:t>19</w:t>
      </w:r>
      <w:r w:rsidR="00A9455B">
        <w:t>.6</w:t>
      </w:r>
      <w:r w:rsidR="008E638B">
        <w:tab/>
      </w:r>
      <w:r w:rsidR="00A9455B">
        <w:t xml:space="preserve">Before any Teacher is </w:t>
      </w:r>
      <w:r w:rsidR="00176499">
        <w:t>awarded an additional payment</w:t>
      </w:r>
      <w:r w:rsidR="00320E5B">
        <w:t xml:space="preserve"> in line with </w:t>
      </w:r>
      <w:r w:rsidR="00BE796F">
        <w:t xml:space="preserve">the </w:t>
      </w:r>
      <w:r w:rsidR="00320E5B">
        <w:t>provision</w:t>
      </w:r>
      <w:r w:rsidR="00BE796F">
        <w:t>s</w:t>
      </w:r>
      <w:r w:rsidR="00320E5B">
        <w:t xml:space="preserve"> d</w:t>
      </w:r>
      <w:r w:rsidR="00BE796F">
        <w:t>etailed</w:t>
      </w:r>
      <w:r w:rsidR="00320E5B">
        <w:t xml:space="preserve"> above</w:t>
      </w:r>
      <w:r w:rsidR="00AC4CA7">
        <w:t xml:space="preserve"> it must be</w:t>
      </w:r>
      <w:r w:rsidR="00550A18">
        <w:t xml:space="preserve"> authorised formally </w:t>
      </w:r>
      <w:r w:rsidR="008051FB">
        <w:t xml:space="preserve">in line with the school’s terms of reference </w:t>
      </w:r>
      <w:r w:rsidR="00AC4CA7">
        <w:t xml:space="preserve">and the remuneration </w:t>
      </w:r>
      <w:r w:rsidR="006A30F3">
        <w:t>will be considered as part of t</w:t>
      </w:r>
      <w:r w:rsidR="00335E0B">
        <w:t>he decision</w:t>
      </w:r>
      <w:r w:rsidR="002B5816">
        <w:t xml:space="preserve"> including </w:t>
      </w:r>
      <w:r w:rsidR="00F45312">
        <w:t>whether the payment is pensionable</w:t>
      </w:r>
      <w:r w:rsidR="00A63D53">
        <w:t xml:space="preserve"> in line with Teachers Pension Regulations</w:t>
      </w:r>
      <w:r w:rsidR="00335E0B">
        <w:t>.</w:t>
      </w:r>
    </w:p>
    <w:p w14:paraId="60437671" w14:textId="77777777" w:rsidR="00335E0B" w:rsidRDefault="00335E0B" w:rsidP="585CE774">
      <w:pPr>
        <w:ind w:left="720" w:hanging="720"/>
      </w:pPr>
    </w:p>
    <w:p w14:paraId="171CFC07" w14:textId="5C842A05" w:rsidR="009509E7" w:rsidRDefault="003D0661" w:rsidP="585CE774">
      <w:pPr>
        <w:ind w:left="720" w:hanging="720"/>
      </w:pPr>
      <w:r>
        <w:lastRenderedPageBreak/>
        <w:t>19</w:t>
      </w:r>
      <w:r w:rsidR="00335E0B">
        <w:t>.7</w:t>
      </w:r>
      <w:r w:rsidR="008E638B">
        <w:tab/>
      </w:r>
      <w:r w:rsidR="00CD05E7">
        <w:t>Any</w:t>
      </w:r>
      <w:r w:rsidR="004750F0">
        <w:t xml:space="preserve"> payments made to teachers in relation to </w:t>
      </w:r>
      <w:r w:rsidR="00E32A79">
        <w:t xml:space="preserve">a-c are linked to the </w:t>
      </w:r>
      <w:r w:rsidR="00171BD4">
        <w:t>teacher’s</w:t>
      </w:r>
      <w:r w:rsidR="00E32A79">
        <w:t xml:space="preserve"> job role and therefore payments should be made linked to the time spent undertaking the task.  This is to ensure that clear justification for the payment can be made.  A clear audit trail can then evidence the reason for the payment.</w:t>
      </w:r>
    </w:p>
    <w:p w14:paraId="3680D954" w14:textId="77777777" w:rsidR="00CF397A" w:rsidRDefault="00CF397A" w:rsidP="585CE774">
      <w:pPr>
        <w:ind w:left="720" w:hanging="720"/>
      </w:pPr>
    </w:p>
    <w:p w14:paraId="09574AF5" w14:textId="0F103781" w:rsidR="00E32A79" w:rsidRPr="003F012A" w:rsidRDefault="00E32A79" w:rsidP="1011A7CF">
      <w:pPr>
        <w:ind w:left="720"/>
        <w:rPr>
          <w:b/>
          <w:bCs/>
        </w:rPr>
      </w:pPr>
      <w:r w:rsidRPr="585CE774">
        <w:rPr>
          <w:b/>
          <w:bCs/>
        </w:rPr>
        <w:t xml:space="preserve">Continuing professional development undertaken outside the school </w:t>
      </w:r>
      <w:proofErr w:type="gramStart"/>
      <w:r w:rsidRPr="585CE774">
        <w:rPr>
          <w:b/>
          <w:bCs/>
        </w:rPr>
        <w:t>day;</w:t>
      </w:r>
      <w:proofErr w:type="gramEnd"/>
    </w:p>
    <w:p w14:paraId="28E04D7B" w14:textId="67D2A124" w:rsidR="00CF397A" w:rsidRPr="009509E7" w:rsidRDefault="003D0661" w:rsidP="585CE774">
      <w:pPr>
        <w:ind w:left="720" w:hanging="720"/>
      </w:pPr>
      <w:r>
        <w:t>19</w:t>
      </w:r>
      <w:r w:rsidR="00933460">
        <w:t>.8</w:t>
      </w:r>
      <w:r w:rsidR="00933460">
        <w:tab/>
      </w:r>
      <w:r w:rsidR="00E32A79">
        <w:t>The Governing Board will</w:t>
      </w:r>
      <w:r w:rsidR="00CF397A">
        <w:t xml:space="preserve"> decide which CPD activities teachers may be paid for</w:t>
      </w:r>
      <w:r w:rsidR="00E32A79">
        <w:t xml:space="preserve"> at the start of each academic year</w:t>
      </w:r>
      <w:r w:rsidR="00CF397A">
        <w:t xml:space="preserve">. Payments to classroom teachers </w:t>
      </w:r>
      <w:r w:rsidR="008F2041">
        <w:t>will</w:t>
      </w:r>
      <w:r w:rsidR="00CF397A">
        <w:t xml:space="preserve"> only be made in respect of those activities undertaken outside </w:t>
      </w:r>
      <w:r w:rsidR="008F2041">
        <w:t>of</w:t>
      </w:r>
      <w:r w:rsidR="00CF397A">
        <w:t xml:space="preserve"> the directed time for full-time teachers; or the appropriate proportion of directed time for part-time teachers. Participation in CPD outside of directed time is voluntary and cannot be directed.</w:t>
      </w:r>
      <w:r w:rsidR="008F2041">
        <w:t xml:space="preserve"> Payments will be time related linked to </w:t>
      </w:r>
      <w:r w:rsidR="00C43B57">
        <w:t>how long it has taken the classroom teacher to undertake the task.  This will be agreed at the outset and before the CPD is undertaken.</w:t>
      </w:r>
    </w:p>
    <w:p w14:paraId="0F2C7642" w14:textId="77777777" w:rsidR="009509E7" w:rsidRPr="003F012A" w:rsidRDefault="009509E7" w:rsidP="585CE774">
      <w:pPr>
        <w:pStyle w:val="NormalWeb"/>
        <w:spacing w:before="0" w:beforeAutospacing="0" w:after="0" w:afterAutospacing="0"/>
        <w:ind w:left="720" w:hanging="720"/>
        <w:rPr>
          <w:rFonts w:ascii="Arial" w:hAnsi="Arial" w:cs="Arial"/>
          <w:color w:val="FF0000"/>
        </w:rPr>
      </w:pPr>
    </w:p>
    <w:p w14:paraId="4319959E" w14:textId="3883AEB2" w:rsidR="00C43B57" w:rsidRPr="003F012A" w:rsidRDefault="00C43B57" w:rsidP="585CE774">
      <w:pPr>
        <w:pStyle w:val="NormalWeb"/>
        <w:spacing w:before="0" w:beforeAutospacing="0" w:after="0" w:afterAutospacing="0"/>
        <w:ind w:left="720"/>
        <w:rPr>
          <w:rFonts w:ascii="Arial" w:hAnsi="Arial" w:cs="Arial"/>
          <w:b/>
          <w:bCs/>
        </w:rPr>
      </w:pPr>
      <w:r w:rsidRPr="585CE774">
        <w:rPr>
          <w:rFonts w:ascii="Arial" w:hAnsi="Arial" w:cs="Arial"/>
          <w:b/>
          <w:bCs/>
        </w:rPr>
        <w:t xml:space="preserve">Activities relating to the provision of initial teacher training as part of the ordinary conduct of the </w:t>
      </w:r>
      <w:proofErr w:type="gramStart"/>
      <w:r w:rsidRPr="585CE774">
        <w:rPr>
          <w:rFonts w:ascii="Arial" w:hAnsi="Arial" w:cs="Arial"/>
          <w:b/>
          <w:bCs/>
        </w:rPr>
        <w:t>school;</w:t>
      </w:r>
      <w:proofErr w:type="gramEnd"/>
    </w:p>
    <w:p w14:paraId="17039BF4" w14:textId="111F400A" w:rsidR="003F012A" w:rsidRDefault="003D0661" w:rsidP="585CE774">
      <w:pPr>
        <w:pStyle w:val="NormalWeb"/>
        <w:spacing w:before="0" w:beforeAutospacing="0" w:after="0" w:afterAutospacing="0"/>
        <w:ind w:left="720" w:hanging="720"/>
        <w:rPr>
          <w:rFonts w:ascii="Arial" w:hAnsi="Arial" w:cs="Arial"/>
        </w:rPr>
      </w:pPr>
      <w:r>
        <w:rPr>
          <w:rFonts w:ascii="Arial" w:hAnsi="Arial" w:cs="Arial"/>
        </w:rPr>
        <w:t>19</w:t>
      </w:r>
      <w:r w:rsidR="00933460" w:rsidRPr="585CE774">
        <w:rPr>
          <w:rFonts w:ascii="Arial" w:hAnsi="Arial" w:cs="Arial"/>
        </w:rPr>
        <w:t>.9</w:t>
      </w:r>
      <w:r w:rsidR="00933460">
        <w:tab/>
      </w:r>
      <w:r w:rsidR="003F012A" w:rsidRPr="585CE774">
        <w:rPr>
          <w:rFonts w:ascii="Arial" w:hAnsi="Arial" w:cs="Arial"/>
        </w:rPr>
        <w:t xml:space="preserve">Where </w:t>
      </w:r>
      <w:r w:rsidR="005F7592" w:rsidRPr="585CE774">
        <w:rPr>
          <w:rFonts w:ascii="Arial" w:hAnsi="Arial" w:cs="Arial"/>
        </w:rPr>
        <w:t>a decision is taken</w:t>
      </w:r>
      <w:r w:rsidR="003F012A" w:rsidRPr="585CE774">
        <w:rPr>
          <w:rFonts w:ascii="Arial" w:hAnsi="Arial" w:cs="Arial"/>
        </w:rPr>
        <w:t xml:space="preserve"> to make additional payments to a teacher for activities related to providing ITT, such payments may be made only for ITT which is provided as an ordinary incident in the conduct of the school. Payment for this will be paid linked to how much time the task will take and will be agreed at the outset.  </w:t>
      </w:r>
      <w:r w:rsidR="005F7592" w:rsidRPr="585CE774">
        <w:rPr>
          <w:rFonts w:ascii="Arial" w:hAnsi="Arial" w:cs="Arial"/>
        </w:rPr>
        <w:t>Detailed records will be kept in relation to the decision to award the payment, setting out clear justification for the payment</w:t>
      </w:r>
      <w:r w:rsidR="0039352B" w:rsidRPr="585CE774">
        <w:rPr>
          <w:rFonts w:ascii="Arial" w:hAnsi="Arial" w:cs="Arial"/>
        </w:rPr>
        <w:t>.</w:t>
      </w:r>
    </w:p>
    <w:p w14:paraId="2F49956E" w14:textId="77777777" w:rsidR="003F012A" w:rsidRDefault="003F012A" w:rsidP="585CE774">
      <w:pPr>
        <w:pStyle w:val="NormalWeb"/>
        <w:spacing w:before="0" w:beforeAutospacing="0" w:after="0" w:afterAutospacing="0"/>
        <w:ind w:left="720"/>
        <w:rPr>
          <w:rFonts w:ascii="Arial" w:hAnsi="Arial" w:cs="Arial"/>
        </w:rPr>
      </w:pPr>
    </w:p>
    <w:p w14:paraId="0CE1E7DE" w14:textId="3C8137A8" w:rsidR="003F012A" w:rsidRPr="006133DE" w:rsidRDefault="003D0661" w:rsidP="585CE774">
      <w:pPr>
        <w:pStyle w:val="NormalWeb"/>
        <w:spacing w:before="0" w:beforeAutospacing="0" w:after="0" w:afterAutospacing="0"/>
        <w:ind w:left="720" w:hanging="720"/>
        <w:rPr>
          <w:rFonts w:ascii="Arial" w:hAnsi="Arial" w:cs="Arial"/>
        </w:rPr>
      </w:pPr>
      <w:r>
        <w:rPr>
          <w:rFonts w:ascii="Arial" w:hAnsi="Arial" w:cs="Arial"/>
        </w:rPr>
        <w:t>19</w:t>
      </w:r>
      <w:r w:rsidR="00933460" w:rsidRPr="585CE774">
        <w:rPr>
          <w:rFonts w:ascii="Arial" w:hAnsi="Arial" w:cs="Arial"/>
        </w:rPr>
        <w:t>.10</w:t>
      </w:r>
      <w:r w:rsidR="00933460">
        <w:tab/>
      </w:r>
      <w:r w:rsidR="0039352B" w:rsidRPr="585CE774">
        <w:rPr>
          <w:rFonts w:ascii="Arial" w:hAnsi="Arial" w:cs="Arial"/>
        </w:rPr>
        <w:t>T</w:t>
      </w:r>
      <w:r w:rsidR="003F012A" w:rsidRPr="585CE774">
        <w:rPr>
          <w:rFonts w:ascii="Arial" w:hAnsi="Arial" w:cs="Arial"/>
        </w:rPr>
        <w:t>eachers undertaking school-based ITT activities do so on an entirely voluntary basis</w:t>
      </w:r>
      <w:r w:rsidR="0039352B" w:rsidRPr="585CE774">
        <w:rPr>
          <w:rFonts w:ascii="Arial" w:hAnsi="Arial" w:cs="Arial"/>
        </w:rPr>
        <w:t xml:space="preserve"> with the exception for those employed on the pay range for leading practitioners, who may be required to carry out this duty in line with their LP role.</w:t>
      </w:r>
      <w:r w:rsidR="003F012A" w:rsidRPr="585CE774">
        <w:rPr>
          <w:rFonts w:ascii="Arial" w:hAnsi="Arial" w:cs="Arial"/>
        </w:rPr>
        <w:t xml:space="preserve"> Such activities might include supervising and observing teaching practice; giving feedback to students on their performance and acting as professional mentors; running seminars or tutorials on aspects of the course; and formally assessing students' competence.</w:t>
      </w:r>
      <w:r w:rsidR="00F13400" w:rsidRPr="585CE774">
        <w:rPr>
          <w:rFonts w:ascii="Arial" w:hAnsi="Arial" w:cs="Arial"/>
        </w:rPr>
        <w:t xml:space="preserve">  For ITT activities not </w:t>
      </w:r>
      <w:r w:rsidR="00B46E3C" w:rsidRPr="585CE774">
        <w:rPr>
          <w:rFonts w:ascii="Arial" w:hAnsi="Arial" w:cs="Arial"/>
        </w:rPr>
        <w:t>regarded as an ordinary incident in the conduct of the school are set out in the STPCD</w:t>
      </w:r>
      <w:r w:rsidR="006133DE" w:rsidRPr="585CE774">
        <w:rPr>
          <w:rFonts w:ascii="Arial" w:hAnsi="Arial" w:cs="Arial"/>
        </w:rPr>
        <w:t xml:space="preserve">.  Separate </w:t>
      </w:r>
      <w:proofErr w:type="spellStart"/>
      <w:proofErr w:type="gramStart"/>
      <w:r w:rsidR="006133DE" w:rsidRPr="585CE774">
        <w:rPr>
          <w:rFonts w:ascii="Arial" w:hAnsi="Arial" w:cs="Arial"/>
        </w:rPr>
        <w:t>non teaching</w:t>
      </w:r>
      <w:proofErr w:type="spellEnd"/>
      <w:proofErr w:type="gramEnd"/>
      <w:r w:rsidR="006133DE" w:rsidRPr="585CE774">
        <w:rPr>
          <w:rFonts w:ascii="Arial" w:hAnsi="Arial" w:cs="Arial"/>
        </w:rPr>
        <w:t xml:space="preserve"> contracts will be issued</w:t>
      </w:r>
      <w:r w:rsidR="003F012A" w:rsidRPr="585CE774">
        <w:rPr>
          <w:rFonts w:ascii="Arial" w:hAnsi="Arial" w:cs="Arial"/>
        </w:rPr>
        <w:t xml:space="preserve"> </w:t>
      </w:r>
      <w:r w:rsidR="006133DE" w:rsidRPr="585CE774">
        <w:rPr>
          <w:rFonts w:ascii="Arial" w:hAnsi="Arial" w:cs="Arial"/>
        </w:rPr>
        <w:t xml:space="preserve">for </w:t>
      </w:r>
      <w:r w:rsidR="003F012A" w:rsidRPr="585CE774">
        <w:rPr>
          <w:rFonts w:ascii="Arial" w:hAnsi="Arial" w:cs="Arial"/>
        </w:rPr>
        <w:t xml:space="preserve">those aspects of involvement in ITT which require the exercise of a teacher’s professional skills or </w:t>
      </w:r>
      <w:proofErr w:type="gramStart"/>
      <w:r w:rsidR="003F012A" w:rsidRPr="585CE774">
        <w:rPr>
          <w:rFonts w:ascii="Arial" w:hAnsi="Arial" w:cs="Arial"/>
        </w:rPr>
        <w:t>judgment</w:t>
      </w:r>
      <w:proofErr w:type="gramEnd"/>
      <w:r w:rsidR="003F012A" w:rsidRPr="585CE774">
        <w:rPr>
          <w:rFonts w:ascii="Arial" w:hAnsi="Arial" w:cs="Arial"/>
        </w:rPr>
        <w:t xml:space="preserve"> but which go beyond activities which may be described as an ordinary incident in the conduct of the school. No teacher </w:t>
      </w:r>
      <w:r w:rsidR="00D23003" w:rsidRPr="585CE774">
        <w:rPr>
          <w:rFonts w:ascii="Arial" w:hAnsi="Arial" w:cs="Arial"/>
        </w:rPr>
        <w:t>will be asked to</w:t>
      </w:r>
      <w:r w:rsidR="003F012A" w:rsidRPr="585CE774">
        <w:rPr>
          <w:rFonts w:ascii="Arial" w:hAnsi="Arial" w:cs="Arial"/>
        </w:rPr>
        <w:t xml:space="preserve"> routinely carry out administrative and clerical ITT-related activities.</w:t>
      </w:r>
    </w:p>
    <w:p w14:paraId="282C3250" w14:textId="77777777" w:rsidR="00C43B57" w:rsidRDefault="00C43B57" w:rsidP="585CE774">
      <w:pPr>
        <w:pStyle w:val="NormalWeb"/>
        <w:spacing w:before="0" w:beforeAutospacing="0" w:after="0" w:afterAutospacing="0"/>
        <w:ind w:left="720" w:hanging="720"/>
        <w:rPr>
          <w:rFonts w:ascii="Arial" w:hAnsi="Arial" w:cs="Arial"/>
          <w:color w:val="FF0000"/>
        </w:rPr>
      </w:pPr>
    </w:p>
    <w:p w14:paraId="0E60F373" w14:textId="77777777" w:rsidR="00D23003" w:rsidRDefault="00D23003" w:rsidP="585CE774">
      <w:pPr>
        <w:pStyle w:val="NormalWeb"/>
        <w:spacing w:before="0" w:beforeAutospacing="0" w:after="0" w:afterAutospacing="0"/>
        <w:rPr>
          <w:rFonts w:ascii="Arial" w:hAnsi="Arial" w:cs="Arial"/>
          <w:color w:val="FF0000"/>
        </w:rPr>
      </w:pPr>
    </w:p>
    <w:p w14:paraId="5F0528FE" w14:textId="1D91D719" w:rsidR="00D23003" w:rsidRPr="00D23003" w:rsidRDefault="00D23003" w:rsidP="585CE774">
      <w:pPr>
        <w:pStyle w:val="NormalWeb"/>
        <w:spacing w:before="0" w:beforeAutospacing="0" w:after="0" w:afterAutospacing="0"/>
        <w:ind w:left="720"/>
        <w:rPr>
          <w:rFonts w:ascii="Arial" w:hAnsi="Arial" w:cs="Arial"/>
          <w:b/>
          <w:bCs/>
        </w:rPr>
      </w:pPr>
      <w:r w:rsidRPr="585CE774">
        <w:rPr>
          <w:rFonts w:ascii="Arial" w:hAnsi="Arial" w:cs="Arial"/>
          <w:b/>
          <w:bCs/>
        </w:rPr>
        <w:t xml:space="preserve">Participation in out-of-school hours learning activity agreed between the teacher and the </w:t>
      </w:r>
      <w:proofErr w:type="gramStart"/>
      <w:r w:rsidRPr="585CE774">
        <w:rPr>
          <w:rFonts w:ascii="Arial" w:hAnsi="Arial" w:cs="Arial"/>
          <w:b/>
          <w:bCs/>
        </w:rPr>
        <w:t>headteacher;</w:t>
      </w:r>
      <w:proofErr w:type="gramEnd"/>
    </w:p>
    <w:p w14:paraId="14AFAE23" w14:textId="2B0A6C75" w:rsidR="00335E0B" w:rsidRDefault="003D0661" w:rsidP="585CE774">
      <w:pPr>
        <w:pStyle w:val="NormalWeb"/>
        <w:spacing w:before="0" w:beforeAutospacing="0" w:after="0" w:afterAutospacing="0"/>
        <w:ind w:left="720" w:hanging="720"/>
        <w:rPr>
          <w:rFonts w:ascii="Arial" w:hAnsi="Arial" w:cs="Arial"/>
        </w:rPr>
      </w:pPr>
      <w:r>
        <w:rPr>
          <w:rFonts w:ascii="Arial" w:hAnsi="Arial" w:cs="Arial"/>
        </w:rPr>
        <w:t>19</w:t>
      </w:r>
      <w:r w:rsidR="00933460" w:rsidRPr="585CE774">
        <w:rPr>
          <w:rFonts w:ascii="Arial" w:hAnsi="Arial" w:cs="Arial"/>
        </w:rPr>
        <w:t>.11</w:t>
      </w:r>
      <w:r w:rsidR="009509E7">
        <w:tab/>
      </w:r>
      <w:r w:rsidR="009509E7" w:rsidRPr="585CE774">
        <w:rPr>
          <w:rFonts w:ascii="Arial" w:hAnsi="Arial" w:cs="Arial"/>
        </w:rPr>
        <w:t xml:space="preserve">Where an additional payment has been agreed for a teacher </w:t>
      </w:r>
      <w:r w:rsidR="00F27825" w:rsidRPr="585CE774">
        <w:rPr>
          <w:rFonts w:ascii="Arial" w:hAnsi="Arial" w:cs="Arial"/>
        </w:rPr>
        <w:t>participating in out-of-school hours learning activity agreed between the teacher and the headteacher</w:t>
      </w:r>
      <w:r w:rsidR="009509E7" w:rsidRPr="585CE774">
        <w:rPr>
          <w:rFonts w:ascii="Arial" w:hAnsi="Arial" w:cs="Arial"/>
        </w:rPr>
        <w:t xml:space="preserve"> </w:t>
      </w:r>
      <w:r w:rsidR="00F27825" w:rsidRPr="585CE774">
        <w:rPr>
          <w:rFonts w:ascii="Arial" w:hAnsi="Arial" w:cs="Arial"/>
        </w:rPr>
        <w:t xml:space="preserve">such as </w:t>
      </w:r>
      <w:r w:rsidR="009509E7" w:rsidRPr="585CE774">
        <w:rPr>
          <w:rFonts w:ascii="Arial" w:hAnsi="Arial" w:cs="Arial"/>
        </w:rPr>
        <w:t>tutoring</w:t>
      </w:r>
      <w:r w:rsidR="00466B3A" w:rsidRPr="585CE774">
        <w:rPr>
          <w:rFonts w:ascii="Arial" w:hAnsi="Arial" w:cs="Arial"/>
        </w:rPr>
        <w:t>,</w:t>
      </w:r>
      <w:r w:rsidR="00A91F45" w:rsidRPr="585CE774">
        <w:rPr>
          <w:rFonts w:ascii="Arial" w:hAnsi="Arial" w:cs="Arial"/>
        </w:rPr>
        <w:t xml:space="preserve"> this is a time related payment therefore </w:t>
      </w:r>
      <w:r w:rsidR="00AE67AB" w:rsidRPr="585CE774">
        <w:rPr>
          <w:rFonts w:ascii="Arial" w:hAnsi="Arial" w:cs="Arial"/>
        </w:rPr>
        <w:t xml:space="preserve">the teacher should be paid for the hours they spend on this activity which will be agreed in advance.  </w:t>
      </w:r>
      <w:r w:rsidR="00E12E49" w:rsidRPr="585CE774">
        <w:rPr>
          <w:rFonts w:ascii="Arial" w:hAnsi="Arial" w:cs="Arial"/>
        </w:rPr>
        <w:t xml:space="preserve">All such activities should require the exercise of the teacher’s professional skills or judgement. </w:t>
      </w:r>
      <w:r w:rsidR="00DB63D3" w:rsidRPr="585CE774">
        <w:rPr>
          <w:rFonts w:ascii="Arial" w:hAnsi="Arial" w:cs="Arial"/>
        </w:rPr>
        <w:t>Payments should only be made to classroom teachers when the activity is undertaken outside of directed time</w:t>
      </w:r>
      <w:r w:rsidR="00E12E49" w:rsidRPr="585CE774">
        <w:rPr>
          <w:rFonts w:ascii="Arial" w:hAnsi="Arial" w:cs="Arial"/>
        </w:rPr>
        <w:t xml:space="preserve">.  </w:t>
      </w:r>
      <w:r w:rsidR="004A7AC9" w:rsidRPr="585CE774">
        <w:rPr>
          <w:rFonts w:ascii="Arial" w:hAnsi="Arial" w:cs="Arial"/>
        </w:rPr>
        <w:lastRenderedPageBreak/>
        <w:t>The school will keep robust</w:t>
      </w:r>
      <w:r w:rsidR="00A91F45" w:rsidRPr="585CE774">
        <w:rPr>
          <w:rFonts w:ascii="Arial" w:hAnsi="Arial" w:cs="Arial"/>
        </w:rPr>
        <w:t xml:space="preserve"> record</w:t>
      </w:r>
      <w:r w:rsidR="004A7AC9" w:rsidRPr="585CE774">
        <w:rPr>
          <w:rFonts w:ascii="Arial" w:hAnsi="Arial" w:cs="Arial"/>
        </w:rPr>
        <w:t>s of the time the teacher has</w:t>
      </w:r>
      <w:r w:rsidR="00A91F45" w:rsidRPr="585CE774">
        <w:rPr>
          <w:rFonts w:ascii="Arial" w:hAnsi="Arial" w:cs="Arial"/>
        </w:rPr>
        <w:t xml:space="preserve"> spent on this activity and </w:t>
      </w:r>
      <w:r w:rsidR="003878B2" w:rsidRPr="585CE774">
        <w:rPr>
          <w:rFonts w:ascii="Arial" w:hAnsi="Arial" w:cs="Arial"/>
        </w:rPr>
        <w:t>payment</w:t>
      </w:r>
      <w:r w:rsidR="00A91F45" w:rsidRPr="585CE774">
        <w:rPr>
          <w:rFonts w:ascii="Arial" w:hAnsi="Arial" w:cs="Arial"/>
        </w:rPr>
        <w:t xml:space="preserve"> should be based on this</w:t>
      </w:r>
      <w:r w:rsidR="004A7AC9" w:rsidRPr="585CE774">
        <w:rPr>
          <w:rFonts w:ascii="Arial" w:hAnsi="Arial" w:cs="Arial"/>
        </w:rPr>
        <w:t xml:space="preserve"> information</w:t>
      </w:r>
      <w:r w:rsidR="00A91F45" w:rsidRPr="585CE774">
        <w:rPr>
          <w:rFonts w:ascii="Arial" w:hAnsi="Arial" w:cs="Arial"/>
        </w:rPr>
        <w:t xml:space="preserve">.  </w:t>
      </w:r>
      <w:r w:rsidR="003878B2" w:rsidRPr="585CE774">
        <w:rPr>
          <w:rFonts w:ascii="Arial" w:hAnsi="Arial" w:cs="Arial"/>
        </w:rPr>
        <w:t xml:space="preserve">Payments should not be made </w:t>
      </w:r>
      <w:proofErr w:type="gramStart"/>
      <w:r w:rsidR="003878B2" w:rsidRPr="585CE774">
        <w:rPr>
          <w:rFonts w:ascii="Arial" w:hAnsi="Arial" w:cs="Arial"/>
        </w:rPr>
        <w:t>on the basis of</w:t>
      </w:r>
      <w:proofErr w:type="gramEnd"/>
      <w:r w:rsidR="003878B2" w:rsidRPr="585CE774">
        <w:rPr>
          <w:rFonts w:ascii="Arial" w:hAnsi="Arial" w:cs="Arial"/>
        </w:rPr>
        <w:t xml:space="preserve"> a lump sum payment which </w:t>
      </w:r>
      <w:proofErr w:type="spellStart"/>
      <w:r w:rsidR="003878B2" w:rsidRPr="585CE774">
        <w:rPr>
          <w:rFonts w:ascii="Arial" w:hAnsi="Arial" w:cs="Arial"/>
        </w:rPr>
        <w:t>can not</w:t>
      </w:r>
      <w:proofErr w:type="spellEnd"/>
      <w:r w:rsidR="003878B2" w:rsidRPr="585CE774">
        <w:rPr>
          <w:rFonts w:ascii="Arial" w:hAnsi="Arial" w:cs="Arial"/>
        </w:rPr>
        <w:t xml:space="preserve"> be justified.  </w:t>
      </w:r>
      <w:r w:rsidR="00DB1DEC" w:rsidRPr="585CE774">
        <w:rPr>
          <w:rFonts w:ascii="Arial" w:hAnsi="Arial" w:cs="Arial"/>
        </w:rPr>
        <w:t xml:space="preserve">Pension implications of such payments should be considered. </w:t>
      </w:r>
    </w:p>
    <w:p w14:paraId="078B4629" w14:textId="77777777" w:rsidR="007016A6" w:rsidRDefault="007016A6" w:rsidP="585CE774">
      <w:pPr>
        <w:pStyle w:val="NormalWeb"/>
        <w:spacing w:before="0" w:beforeAutospacing="0" w:after="0" w:afterAutospacing="0"/>
        <w:ind w:left="720" w:hanging="720"/>
        <w:rPr>
          <w:rFonts w:ascii="Arial" w:hAnsi="Arial" w:cs="Arial"/>
        </w:rPr>
      </w:pPr>
    </w:p>
    <w:p w14:paraId="2C51F542" w14:textId="6390C80E" w:rsidR="008F48E1" w:rsidRPr="00F52074" w:rsidRDefault="007016A6" w:rsidP="585CE774">
      <w:pPr>
        <w:pStyle w:val="NormalWeb"/>
        <w:spacing w:before="0" w:beforeAutospacing="0" w:after="0" w:afterAutospacing="0"/>
        <w:ind w:left="720"/>
        <w:rPr>
          <w:rFonts w:ascii="Arial" w:hAnsi="Arial" w:cs="Arial"/>
          <w:b/>
          <w:bCs/>
        </w:rPr>
      </w:pPr>
      <w:r w:rsidRPr="585CE774">
        <w:rPr>
          <w:rFonts w:ascii="Arial" w:hAnsi="Arial" w:cs="Arial"/>
          <w:b/>
          <w:bCs/>
        </w:rPr>
        <w:t xml:space="preserve">Additional responsibilities </w:t>
      </w:r>
      <w:r w:rsidR="00F43716" w:rsidRPr="585CE774">
        <w:rPr>
          <w:rFonts w:ascii="Arial" w:hAnsi="Arial" w:cs="Arial"/>
          <w:b/>
          <w:bCs/>
        </w:rPr>
        <w:t>and activities due to, or in respect of, the provision of services relating to the raising of educational standards to one or more additional schools</w:t>
      </w:r>
    </w:p>
    <w:p w14:paraId="362B7DAF" w14:textId="7D6514D0" w:rsidR="00AB09A4" w:rsidRPr="00F52074" w:rsidRDefault="003D0661" w:rsidP="585CE774">
      <w:pPr>
        <w:pStyle w:val="NormalWeb"/>
        <w:spacing w:before="0" w:beforeAutospacing="0" w:after="0" w:afterAutospacing="0"/>
        <w:ind w:left="720" w:hanging="720"/>
        <w:rPr>
          <w:rFonts w:ascii="Arial" w:hAnsi="Arial" w:cs="Arial"/>
        </w:rPr>
      </w:pPr>
      <w:r>
        <w:rPr>
          <w:rFonts w:ascii="Arial" w:hAnsi="Arial" w:cs="Arial"/>
        </w:rPr>
        <w:t>19</w:t>
      </w:r>
      <w:r w:rsidR="00933460" w:rsidRPr="585CE774">
        <w:rPr>
          <w:rFonts w:ascii="Arial" w:hAnsi="Arial" w:cs="Arial"/>
        </w:rPr>
        <w:t>.12</w:t>
      </w:r>
      <w:r w:rsidR="001D7001">
        <w:tab/>
      </w:r>
      <w:r w:rsidR="002364C6" w:rsidRPr="585CE774">
        <w:rPr>
          <w:rFonts w:ascii="Arial" w:hAnsi="Arial" w:cs="Arial"/>
        </w:rPr>
        <w:t xml:space="preserve">Where the headteacher is providing a service to another school, for example as a National Leader of Education (NLE), the person providing that service is not ultimately accountable for the outcomes in the school, but for the quality of the service being provided. The </w:t>
      </w:r>
      <w:r w:rsidR="00E76E57" w:rsidRPr="585CE774">
        <w:rPr>
          <w:rFonts w:ascii="Arial" w:hAnsi="Arial" w:cs="Arial"/>
        </w:rPr>
        <w:t>Governing Board</w:t>
      </w:r>
      <w:r w:rsidR="002364C6" w:rsidRPr="585CE774">
        <w:rPr>
          <w:rFonts w:ascii="Arial" w:hAnsi="Arial" w:cs="Arial"/>
        </w:rPr>
        <w:t xml:space="preserve"> whose headteacher is providing the service should determine how much, if any, additional payment is due to the individual concerned in line with the provisions of the Document, for example where the contract requires work outside school sessions. </w:t>
      </w:r>
    </w:p>
    <w:p w14:paraId="2AF946E8" w14:textId="77777777" w:rsidR="00AB09A4" w:rsidRPr="00F52074" w:rsidRDefault="00AB09A4" w:rsidP="00AB09A4">
      <w:pPr>
        <w:pStyle w:val="NormalWeb"/>
        <w:spacing w:before="0" w:beforeAutospacing="0" w:after="0" w:afterAutospacing="0"/>
        <w:ind w:left="720" w:hanging="720"/>
        <w:rPr>
          <w:rFonts w:ascii="Arial" w:hAnsi="Arial" w:cs="Arial"/>
          <w:highlight w:val="green"/>
        </w:rPr>
      </w:pPr>
    </w:p>
    <w:p w14:paraId="44FA4295" w14:textId="41215AFE" w:rsidR="005D6113" w:rsidRPr="00F52074" w:rsidRDefault="00AB09A4" w:rsidP="585CE774">
      <w:pPr>
        <w:pStyle w:val="NormalWeb"/>
        <w:spacing w:before="0" w:beforeAutospacing="0" w:after="0" w:afterAutospacing="0"/>
        <w:ind w:left="720"/>
        <w:rPr>
          <w:rFonts w:ascii="Arial" w:hAnsi="Arial" w:cs="Arial"/>
        </w:rPr>
      </w:pPr>
      <w:r w:rsidRPr="585CE774">
        <w:rPr>
          <w:rFonts w:ascii="Arial" w:hAnsi="Arial" w:cs="Arial"/>
        </w:rPr>
        <w:t xml:space="preserve">The Governing Board will </w:t>
      </w:r>
      <w:proofErr w:type="gramStart"/>
      <w:r w:rsidRPr="585CE774">
        <w:rPr>
          <w:rFonts w:ascii="Arial" w:hAnsi="Arial" w:cs="Arial"/>
        </w:rPr>
        <w:t>give c</w:t>
      </w:r>
      <w:r w:rsidR="002364C6" w:rsidRPr="585CE774">
        <w:rPr>
          <w:rFonts w:ascii="Arial" w:hAnsi="Arial" w:cs="Arial"/>
        </w:rPr>
        <w:t>onsideration to</w:t>
      </w:r>
      <w:proofErr w:type="gramEnd"/>
      <w:r w:rsidR="002364C6" w:rsidRPr="585CE774">
        <w:rPr>
          <w:rFonts w:ascii="Arial" w:hAnsi="Arial" w:cs="Arial"/>
        </w:rPr>
        <w:t xml:space="preserve"> the remuneration of other teachers who </w:t>
      </w:r>
      <w:proofErr w:type="gramStart"/>
      <w:r w:rsidR="002364C6" w:rsidRPr="585CE774">
        <w:rPr>
          <w:rFonts w:ascii="Arial" w:hAnsi="Arial" w:cs="Arial"/>
        </w:rPr>
        <w:t>as a result of</w:t>
      </w:r>
      <w:proofErr w:type="gramEnd"/>
      <w:r w:rsidR="002364C6" w:rsidRPr="585CE774">
        <w:rPr>
          <w:rFonts w:ascii="Arial" w:hAnsi="Arial" w:cs="Arial"/>
        </w:rPr>
        <w:t xml:space="preserve"> the headteacher’s additional role are taking on additional responsibilities and activities. This will be based on any additional responsibilities attached to the post (not the teacher</w:t>
      </w:r>
      <w:proofErr w:type="gramStart"/>
      <w:r w:rsidR="002364C6" w:rsidRPr="585CE774">
        <w:rPr>
          <w:rFonts w:ascii="Arial" w:hAnsi="Arial" w:cs="Arial"/>
        </w:rPr>
        <w:t xml:space="preserve">), </w:t>
      </w:r>
      <w:r w:rsidR="004F65BE" w:rsidRPr="585CE774">
        <w:rPr>
          <w:rFonts w:ascii="Arial" w:hAnsi="Arial" w:cs="Arial"/>
        </w:rPr>
        <w:t>and</w:t>
      </w:r>
      <w:proofErr w:type="gramEnd"/>
      <w:r w:rsidR="004F65BE" w:rsidRPr="585CE774">
        <w:rPr>
          <w:rFonts w:ascii="Arial" w:hAnsi="Arial" w:cs="Arial"/>
        </w:rPr>
        <w:t xml:space="preserve"> will be</w:t>
      </w:r>
      <w:r w:rsidR="002364C6" w:rsidRPr="585CE774">
        <w:rPr>
          <w:rFonts w:ascii="Arial" w:hAnsi="Arial" w:cs="Arial"/>
        </w:rPr>
        <w:t xml:space="preserve"> recorded. Any increase in remuneration </w:t>
      </w:r>
      <w:r w:rsidR="00262FFB" w:rsidRPr="585CE774">
        <w:rPr>
          <w:rFonts w:ascii="Arial" w:hAnsi="Arial" w:cs="Arial"/>
        </w:rPr>
        <w:t>will</w:t>
      </w:r>
      <w:r w:rsidR="002364C6" w:rsidRPr="585CE774">
        <w:rPr>
          <w:rFonts w:ascii="Arial" w:hAnsi="Arial" w:cs="Arial"/>
        </w:rPr>
        <w:t xml:space="preserve"> only be agreed where the post accrues extra responsibilities </w:t>
      </w:r>
      <w:proofErr w:type="gramStart"/>
      <w:r w:rsidR="002364C6" w:rsidRPr="585CE774">
        <w:rPr>
          <w:rFonts w:ascii="Arial" w:hAnsi="Arial" w:cs="Arial"/>
        </w:rPr>
        <w:t>as a result of</w:t>
      </w:r>
      <w:proofErr w:type="gramEnd"/>
      <w:r w:rsidR="002364C6" w:rsidRPr="585CE774">
        <w:rPr>
          <w:rFonts w:ascii="Arial" w:hAnsi="Arial" w:cs="Arial"/>
        </w:rPr>
        <w:t xml:space="preserve"> the headteacher’s enlarged role; it is not </w:t>
      </w:r>
      <w:proofErr w:type="gramStart"/>
      <w:r w:rsidR="002364C6" w:rsidRPr="585CE774">
        <w:rPr>
          <w:rFonts w:ascii="Arial" w:hAnsi="Arial" w:cs="Arial"/>
        </w:rPr>
        <w:t>automatic, and</w:t>
      </w:r>
      <w:proofErr w:type="gramEnd"/>
      <w:r w:rsidR="002364C6" w:rsidRPr="585CE774">
        <w:rPr>
          <w:rFonts w:ascii="Arial" w:hAnsi="Arial" w:cs="Arial"/>
        </w:rPr>
        <w:t xml:space="preserve"> should be in line with the provisions of the </w:t>
      </w:r>
      <w:r w:rsidR="00262FFB" w:rsidRPr="585CE774">
        <w:rPr>
          <w:rFonts w:ascii="Arial" w:hAnsi="Arial" w:cs="Arial"/>
        </w:rPr>
        <w:t>STPCD</w:t>
      </w:r>
      <w:r w:rsidR="002364C6" w:rsidRPr="585CE774">
        <w:rPr>
          <w:rFonts w:ascii="Arial" w:hAnsi="Arial" w:cs="Arial"/>
        </w:rPr>
        <w:t xml:space="preserve">. </w:t>
      </w:r>
    </w:p>
    <w:p w14:paraId="5686702E" w14:textId="77777777" w:rsidR="005D6113" w:rsidRPr="00F52074" w:rsidRDefault="005D6113" w:rsidP="585CE774">
      <w:pPr>
        <w:pStyle w:val="NormalWeb"/>
        <w:spacing w:before="0" w:beforeAutospacing="0" w:after="0" w:afterAutospacing="0"/>
        <w:ind w:left="720"/>
        <w:rPr>
          <w:rFonts w:ascii="Arial" w:hAnsi="Arial" w:cs="Arial"/>
        </w:rPr>
      </w:pPr>
    </w:p>
    <w:p w14:paraId="32612080" w14:textId="1D147C50" w:rsidR="001D7001" w:rsidRPr="00F52074" w:rsidRDefault="002364C6" w:rsidP="585CE774">
      <w:pPr>
        <w:pStyle w:val="NormalWeb"/>
        <w:spacing w:before="0" w:beforeAutospacing="0" w:after="0" w:afterAutospacing="0"/>
        <w:ind w:left="720"/>
        <w:rPr>
          <w:rFonts w:ascii="Arial" w:hAnsi="Arial" w:cs="Arial"/>
        </w:rPr>
      </w:pPr>
      <w:r w:rsidRPr="585CE774">
        <w:rPr>
          <w:rFonts w:ascii="Arial" w:hAnsi="Arial" w:cs="Arial"/>
        </w:rPr>
        <w:t xml:space="preserve">Where the arrangement for the headteacher is temporary, any adjustment to pay of other teachers is also temporary, and safeguarding provisions will not apply when the arrangements cease. The </w:t>
      </w:r>
      <w:r w:rsidR="00B03D0E" w:rsidRPr="585CE774">
        <w:rPr>
          <w:rFonts w:ascii="Arial" w:hAnsi="Arial" w:cs="Arial"/>
        </w:rPr>
        <w:t>Governing Board will</w:t>
      </w:r>
      <w:r w:rsidRPr="585CE774">
        <w:rPr>
          <w:rFonts w:ascii="Arial" w:hAnsi="Arial" w:cs="Arial"/>
        </w:rPr>
        <w:t xml:space="preserve"> consider the appropriate use of acting allowances and other temporary payments</w:t>
      </w:r>
      <w:r w:rsidR="00262FFB" w:rsidRPr="585CE774">
        <w:rPr>
          <w:rFonts w:ascii="Arial" w:hAnsi="Arial" w:cs="Arial"/>
        </w:rPr>
        <w:t xml:space="preserve"> in these circumstances and in line with this pay policy</w:t>
      </w:r>
      <w:r w:rsidRPr="585CE774">
        <w:rPr>
          <w:rFonts w:ascii="Arial" w:hAnsi="Arial" w:cs="Arial"/>
        </w:rPr>
        <w:t xml:space="preserve">. Where there is a deputy headteacher in the school, it may be more appropriate to temporarily increase his or her pay range to take account of the increased responsibilities in the absence of the headteacher. </w:t>
      </w:r>
      <w:proofErr w:type="gramStart"/>
      <w:r w:rsidRPr="585CE774">
        <w:rPr>
          <w:rFonts w:ascii="Arial" w:hAnsi="Arial" w:cs="Arial"/>
        </w:rPr>
        <w:t>Additionally</w:t>
      </w:r>
      <w:proofErr w:type="gramEnd"/>
      <w:r w:rsidRPr="585CE774">
        <w:rPr>
          <w:rFonts w:ascii="Arial" w:hAnsi="Arial" w:cs="Arial"/>
        </w:rPr>
        <w:t xml:space="preserve"> a teacher may be temporarily appointed, in the absence of the substantive post holder, to a post in the staffing structure which attracts a TLR payment; and where none of those are appropriate, the relevant body can make use of additional payments</w:t>
      </w:r>
      <w:r w:rsidR="000F0EB5" w:rsidRPr="585CE774">
        <w:rPr>
          <w:rFonts w:ascii="Arial" w:hAnsi="Arial" w:cs="Arial"/>
        </w:rPr>
        <w:t>.</w:t>
      </w:r>
      <w:r w:rsidRPr="585CE774">
        <w:rPr>
          <w:rFonts w:ascii="Arial" w:hAnsi="Arial" w:cs="Arial"/>
        </w:rPr>
        <w:t xml:space="preserve"> The following </w:t>
      </w:r>
      <w:r w:rsidR="0031004C" w:rsidRPr="585CE774">
        <w:rPr>
          <w:rFonts w:ascii="Arial" w:hAnsi="Arial" w:cs="Arial"/>
        </w:rPr>
        <w:t>section s</w:t>
      </w:r>
      <w:r w:rsidRPr="585CE774">
        <w:rPr>
          <w:rFonts w:ascii="Arial" w:hAnsi="Arial" w:cs="Arial"/>
        </w:rPr>
        <w:t>ets out the operating principles and requirements which apply to the provision of services to other schools. All references below to the governing bo</w:t>
      </w:r>
      <w:r w:rsidR="009C717A" w:rsidRPr="585CE774">
        <w:rPr>
          <w:rFonts w:ascii="Arial" w:hAnsi="Arial" w:cs="Arial"/>
        </w:rPr>
        <w:t>ard</w:t>
      </w:r>
      <w:r w:rsidRPr="585CE774">
        <w:rPr>
          <w:rFonts w:ascii="Arial" w:hAnsi="Arial" w:cs="Arial"/>
        </w:rPr>
        <w:t xml:space="preserve"> are to the governing bo</w:t>
      </w:r>
      <w:r w:rsidR="009C717A" w:rsidRPr="585CE774">
        <w:rPr>
          <w:rFonts w:ascii="Arial" w:hAnsi="Arial" w:cs="Arial"/>
        </w:rPr>
        <w:t>ard</w:t>
      </w:r>
      <w:r w:rsidRPr="585CE774">
        <w:rPr>
          <w:rFonts w:ascii="Arial" w:hAnsi="Arial" w:cs="Arial"/>
        </w:rPr>
        <w:t xml:space="preserve"> of the school whose headteacher is providing services to another school.</w:t>
      </w:r>
    </w:p>
    <w:p w14:paraId="2439AAAB" w14:textId="77777777" w:rsidR="009C717A" w:rsidRPr="00F52074" w:rsidRDefault="009C717A" w:rsidP="585CE774">
      <w:pPr>
        <w:pStyle w:val="NormalWeb"/>
        <w:spacing w:before="0" w:beforeAutospacing="0" w:after="0" w:afterAutospacing="0"/>
        <w:ind w:left="720"/>
        <w:rPr>
          <w:rFonts w:ascii="Arial" w:hAnsi="Arial" w:cs="Arial"/>
        </w:rPr>
      </w:pPr>
    </w:p>
    <w:p w14:paraId="173D16B1" w14:textId="77777777" w:rsidR="000418D8" w:rsidRPr="00F52074" w:rsidRDefault="000418D8" w:rsidP="585CE774">
      <w:pPr>
        <w:pStyle w:val="NormalWeb"/>
        <w:spacing w:before="0" w:beforeAutospacing="0" w:after="0" w:afterAutospacing="0"/>
        <w:ind w:left="720"/>
        <w:rPr>
          <w:rFonts w:ascii="Arial" w:hAnsi="Arial" w:cs="Arial"/>
          <w:b/>
          <w:bCs/>
        </w:rPr>
      </w:pPr>
      <w:r w:rsidRPr="585CE774">
        <w:rPr>
          <w:rFonts w:ascii="Arial" w:hAnsi="Arial" w:cs="Arial"/>
          <w:b/>
          <w:bCs/>
        </w:rPr>
        <w:t xml:space="preserve">Provision of services to other schools – operating principles and requirements </w:t>
      </w:r>
    </w:p>
    <w:p w14:paraId="0DCC96B1" w14:textId="77777777" w:rsidR="000418D8" w:rsidRPr="00F52074" w:rsidRDefault="000418D8" w:rsidP="585CE774">
      <w:pPr>
        <w:pStyle w:val="NormalWeb"/>
        <w:spacing w:before="0" w:beforeAutospacing="0" w:after="0" w:afterAutospacing="0"/>
        <w:ind w:left="720"/>
        <w:rPr>
          <w:rFonts w:ascii="Arial" w:hAnsi="Arial" w:cs="Arial"/>
        </w:rPr>
      </w:pPr>
    </w:p>
    <w:p w14:paraId="24B1B3D9" w14:textId="77777777" w:rsidR="008F48E1" w:rsidRPr="00F52074" w:rsidRDefault="000418D8" w:rsidP="00D13A0A">
      <w:pPr>
        <w:pStyle w:val="NormalWeb"/>
        <w:numPr>
          <w:ilvl w:val="0"/>
          <w:numId w:val="19"/>
        </w:numPr>
        <w:spacing w:before="0" w:beforeAutospacing="0" w:after="0" w:afterAutospacing="0"/>
        <w:ind w:left="1134" w:hanging="425"/>
        <w:rPr>
          <w:rFonts w:ascii="Arial" w:hAnsi="Arial" w:cs="Arial"/>
        </w:rPr>
      </w:pPr>
      <w:r w:rsidRPr="585CE774">
        <w:rPr>
          <w:rFonts w:ascii="Arial" w:hAnsi="Arial" w:cs="Arial"/>
        </w:rPr>
        <w:t>Any services provided by the headteacher of one school to another school must be authorised formally by the governing bo</w:t>
      </w:r>
      <w:r w:rsidR="008F48E1" w:rsidRPr="585CE774">
        <w:rPr>
          <w:rFonts w:ascii="Arial" w:hAnsi="Arial" w:cs="Arial"/>
        </w:rPr>
        <w:t>ard</w:t>
      </w:r>
      <w:r w:rsidRPr="585CE774">
        <w:rPr>
          <w:rFonts w:ascii="Arial" w:hAnsi="Arial" w:cs="Arial"/>
        </w:rPr>
        <w:t xml:space="preserve"> and, where the work extends over more than a </w:t>
      </w:r>
      <w:proofErr w:type="gramStart"/>
      <w:r w:rsidRPr="585CE774">
        <w:rPr>
          <w:rFonts w:ascii="Arial" w:hAnsi="Arial" w:cs="Arial"/>
        </w:rPr>
        <w:t>12 month</w:t>
      </w:r>
      <w:proofErr w:type="gramEnd"/>
      <w:r w:rsidRPr="585CE774">
        <w:rPr>
          <w:rFonts w:ascii="Arial" w:hAnsi="Arial" w:cs="Arial"/>
        </w:rPr>
        <w:t xml:space="preserve"> period, the agreement of the governing b</w:t>
      </w:r>
      <w:r w:rsidR="008F48E1" w:rsidRPr="585CE774">
        <w:rPr>
          <w:rFonts w:ascii="Arial" w:hAnsi="Arial" w:cs="Arial"/>
        </w:rPr>
        <w:t>oard</w:t>
      </w:r>
      <w:r w:rsidRPr="585CE774">
        <w:rPr>
          <w:rFonts w:ascii="Arial" w:hAnsi="Arial" w:cs="Arial"/>
        </w:rPr>
        <w:t xml:space="preserve"> must be formally reviewed annually or sooner if appropriate. The governing bo</w:t>
      </w:r>
      <w:r w:rsidR="008F48E1" w:rsidRPr="585CE774">
        <w:rPr>
          <w:rFonts w:ascii="Arial" w:hAnsi="Arial" w:cs="Arial"/>
        </w:rPr>
        <w:t>ard</w:t>
      </w:r>
      <w:r w:rsidRPr="585CE774">
        <w:rPr>
          <w:rFonts w:ascii="Arial" w:hAnsi="Arial" w:cs="Arial"/>
        </w:rPr>
        <w:t xml:space="preserve"> should also agree arrangements for terminating such work. </w:t>
      </w:r>
    </w:p>
    <w:p w14:paraId="43C59A60" w14:textId="48AAF750" w:rsidR="008F48E1" w:rsidRPr="00F52074" w:rsidRDefault="000418D8" w:rsidP="00D13A0A">
      <w:pPr>
        <w:pStyle w:val="NormalWeb"/>
        <w:numPr>
          <w:ilvl w:val="0"/>
          <w:numId w:val="19"/>
        </w:numPr>
        <w:spacing w:before="0" w:beforeAutospacing="0" w:after="0" w:afterAutospacing="0"/>
        <w:ind w:left="1134" w:hanging="425"/>
        <w:rPr>
          <w:rFonts w:ascii="Arial" w:hAnsi="Arial" w:cs="Arial"/>
        </w:rPr>
      </w:pPr>
      <w:r w:rsidRPr="585CE774">
        <w:rPr>
          <w:rFonts w:ascii="Arial" w:hAnsi="Arial" w:cs="Arial"/>
        </w:rPr>
        <w:lastRenderedPageBreak/>
        <w:t>Before such work is undertaken, the governing b</w:t>
      </w:r>
      <w:r w:rsidR="008F48E1" w:rsidRPr="585CE774">
        <w:rPr>
          <w:rFonts w:ascii="Arial" w:hAnsi="Arial" w:cs="Arial"/>
        </w:rPr>
        <w:t>oard</w:t>
      </w:r>
      <w:r w:rsidRPr="585CE774">
        <w:rPr>
          <w:rFonts w:ascii="Arial" w:hAnsi="Arial" w:cs="Arial"/>
        </w:rPr>
        <w:t xml:space="preserve"> and the headteacher </w:t>
      </w:r>
      <w:r w:rsidR="00F52074" w:rsidRPr="585CE774">
        <w:rPr>
          <w:rFonts w:ascii="Arial" w:hAnsi="Arial" w:cs="Arial"/>
        </w:rPr>
        <w:t>will</w:t>
      </w:r>
      <w:r w:rsidRPr="585CE774">
        <w:rPr>
          <w:rFonts w:ascii="Arial" w:hAnsi="Arial" w:cs="Arial"/>
        </w:rPr>
        <w:t xml:space="preserve"> </w:t>
      </w:r>
      <w:proofErr w:type="gramStart"/>
      <w:r w:rsidRPr="585CE774">
        <w:rPr>
          <w:rFonts w:ascii="Arial" w:hAnsi="Arial" w:cs="Arial"/>
        </w:rPr>
        <w:t>take into account</w:t>
      </w:r>
      <w:proofErr w:type="gramEnd"/>
      <w:r w:rsidRPr="585CE774">
        <w:rPr>
          <w:rFonts w:ascii="Arial" w:hAnsi="Arial" w:cs="Arial"/>
        </w:rPr>
        <w:t xml:space="preserve">: </w:t>
      </w:r>
    </w:p>
    <w:p w14:paraId="3F2387B9" w14:textId="77777777" w:rsidR="008F48E1" w:rsidRPr="00F52074" w:rsidRDefault="000418D8" w:rsidP="00D13A0A">
      <w:pPr>
        <w:pStyle w:val="NormalWeb"/>
        <w:numPr>
          <w:ilvl w:val="1"/>
          <w:numId w:val="18"/>
        </w:numPr>
        <w:spacing w:before="0" w:beforeAutospacing="0" w:after="0" w:afterAutospacing="0"/>
        <w:ind w:left="1985" w:hanging="425"/>
        <w:rPr>
          <w:rFonts w:ascii="Arial" w:hAnsi="Arial" w:cs="Arial"/>
        </w:rPr>
      </w:pPr>
      <w:r w:rsidRPr="585CE774">
        <w:rPr>
          <w:rFonts w:ascii="Arial" w:hAnsi="Arial" w:cs="Arial"/>
        </w:rPr>
        <w:t xml:space="preserve">the needs of the school and its </w:t>
      </w:r>
      <w:proofErr w:type="gramStart"/>
      <w:r w:rsidRPr="585CE774">
        <w:rPr>
          <w:rFonts w:ascii="Arial" w:hAnsi="Arial" w:cs="Arial"/>
        </w:rPr>
        <w:t>pupils;</w:t>
      </w:r>
      <w:proofErr w:type="gramEnd"/>
    </w:p>
    <w:p w14:paraId="438C64E8" w14:textId="77777777" w:rsidR="008F48E1" w:rsidRPr="00F52074" w:rsidRDefault="000418D8" w:rsidP="00D13A0A">
      <w:pPr>
        <w:pStyle w:val="NormalWeb"/>
        <w:numPr>
          <w:ilvl w:val="1"/>
          <w:numId w:val="18"/>
        </w:numPr>
        <w:spacing w:before="0" w:beforeAutospacing="0" w:after="0" w:afterAutospacing="0"/>
        <w:ind w:left="1985" w:hanging="425"/>
        <w:rPr>
          <w:rFonts w:ascii="Arial" w:hAnsi="Arial" w:cs="Arial"/>
        </w:rPr>
      </w:pPr>
      <w:r w:rsidRPr="585CE774">
        <w:rPr>
          <w:rFonts w:ascii="Arial" w:hAnsi="Arial" w:cs="Arial"/>
        </w:rPr>
        <w:t xml:space="preserve">the benefits that the activity would bring to the </w:t>
      </w:r>
      <w:proofErr w:type="gramStart"/>
      <w:r w:rsidRPr="585CE774">
        <w:rPr>
          <w:rFonts w:ascii="Arial" w:hAnsi="Arial" w:cs="Arial"/>
        </w:rPr>
        <w:t>school;</w:t>
      </w:r>
      <w:proofErr w:type="gramEnd"/>
    </w:p>
    <w:p w14:paraId="7A6CD62A" w14:textId="77777777" w:rsidR="008F48E1" w:rsidRPr="00F52074" w:rsidRDefault="000418D8" w:rsidP="00D13A0A">
      <w:pPr>
        <w:pStyle w:val="NormalWeb"/>
        <w:numPr>
          <w:ilvl w:val="1"/>
          <w:numId w:val="18"/>
        </w:numPr>
        <w:spacing w:before="0" w:beforeAutospacing="0" w:after="0" w:afterAutospacing="0"/>
        <w:ind w:left="1985" w:hanging="425"/>
        <w:rPr>
          <w:rFonts w:ascii="Arial" w:hAnsi="Arial" w:cs="Arial"/>
        </w:rPr>
      </w:pPr>
      <w:r w:rsidRPr="585CE774">
        <w:rPr>
          <w:rFonts w:ascii="Arial" w:hAnsi="Arial" w:cs="Arial"/>
        </w:rPr>
        <w:t xml:space="preserve">the impact of any absence on other staff, including their workload; and </w:t>
      </w:r>
    </w:p>
    <w:p w14:paraId="01E84E7E" w14:textId="77777777" w:rsidR="008F48E1" w:rsidRPr="00F52074" w:rsidRDefault="000418D8" w:rsidP="00D13A0A">
      <w:pPr>
        <w:pStyle w:val="NormalWeb"/>
        <w:numPr>
          <w:ilvl w:val="1"/>
          <w:numId w:val="18"/>
        </w:numPr>
        <w:spacing w:before="0" w:beforeAutospacing="0" w:after="0" w:afterAutospacing="0"/>
        <w:ind w:left="1985" w:hanging="425"/>
        <w:rPr>
          <w:rFonts w:ascii="Arial" w:hAnsi="Arial" w:cs="Arial"/>
        </w:rPr>
      </w:pPr>
      <w:r w:rsidRPr="585CE774">
        <w:rPr>
          <w:rFonts w:ascii="Arial" w:hAnsi="Arial" w:cs="Arial"/>
        </w:rPr>
        <w:t>the workload and work-life balance of all the individuals concerned.</w:t>
      </w:r>
    </w:p>
    <w:p w14:paraId="202D3758" w14:textId="4749EBDE" w:rsidR="006207B1" w:rsidRPr="00F52074" w:rsidRDefault="000418D8" w:rsidP="00D13A0A">
      <w:pPr>
        <w:pStyle w:val="NormalWeb"/>
        <w:numPr>
          <w:ilvl w:val="1"/>
          <w:numId w:val="18"/>
        </w:numPr>
        <w:tabs>
          <w:tab w:val="left" w:pos="1418"/>
        </w:tabs>
        <w:spacing w:before="0" w:beforeAutospacing="0" w:after="0" w:afterAutospacing="0"/>
        <w:ind w:left="1418" w:hanging="425"/>
        <w:rPr>
          <w:rFonts w:ascii="Arial" w:hAnsi="Arial" w:cs="Arial"/>
        </w:rPr>
      </w:pPr>
      <w:proofErr w:type="gramStart"/>
      <w:r w:rsidRPr="585CE774">
        <w:rPr>
          <w:rFonts w:ascii="Arial" w:hAnsi="Arial" w:cs="Arial"/>
        </w:rPr>
        <w:t>In particular, before</w:t>
      </w:r>
      <w:proofErr w:type="gramEnd"/>
      <w:r w:rsidRPr="585CE774">
        <w:rPr>
          <w:rFonts w:ascii="Arial" w:hAnsi="Arial" w:cs="Arial"/>
        </w:rPr>
        <w:t xml:space="preserve"> reaching a view the governing bo</w:t>
      </w:r>
      <w:r w:rsidR="00524857" w:rsidRPr="585CE774">
        <w:rPr>
          <w:rFonts w:ascii="Arial" w:hAnsi="Arial" w:cs="Arial"/>
        </w:rPr>
        <w:t>ard</w:t>
      </w:r>
      <w:r w:rsidRPr="585CE774">
        <w:rPr>
          <w:rFonts w:ascii="Arial" w:hAnsi="Arial" w:cs="Arial"/>
        </w:rPr>
        <w:t xml:space="preserve"> </w:t>
      </w:r>
      <w:r w:rsidR="00F52074" w:rsidRPr="585CE774">
        <w:rPr>
          <w:rFonts w:ascii="Arial" w:hAnsi="Arial" w:cs="Arial"/>
        </w:rPr>
        <w:t>will</w:t>
      </w:r>
      <w:r w:rsidRPr="585CE774">
        <w:rPr>
          <w:rFonts w:ascii="Arial" w:hAnsi="Arial" w:cs="Arial"/>
        </w:rPr>
        <w:t xml:space="preserve"> satisfy itself that these matters have been fully considered within the school’s leadership team.</w:t>
      </w:r>
    </w:p>
    <w:p w14:paraId="62C9AAD4" w14:textId="7134D96B" w:rsidR="006207B1" w:rsidRPr="00F52074" w:rsidRDefault="000418D8" w:rsidP="00D13A0A">
      <w:pPr>
        <w:pStyle w:val="NormalWeb"/>
        <w:numPr>
          <w:ilvl w:val="1"/>
          <w:numId w:val="18"/>
        </w:numPr>
        <w:tabs>
          <w:tab w:val="left" w:pos="1418"/>
        </w:tabs>
        <w:spacing w:before="0" w:beforeAutospacing="0" w:after="0" w:afterAutospacing="0"/>
        <w:ind w:left="1418" w:hanging="425"/>
        <w:rPr>
          <w:rFonts w:ascii="Arial" w:hAnsi="Arial" w:cs="Arial"/>
        </w:rPr>
      </w:pPr>
      <w:r w:rsidRPr="585CE774">
        <w:rPr>
          <w:rFonts w:ascii="Arial" w:hAnsi="Arial" w:cs="Arial"/>
        </w:rPr>
        <w:t>Arrangements for payment for external work, including personal remuneration, must be clearly stated and formally incorporated into a protocol by the governing bo</w:t>
      </w:r>
      <w:r w:rsidR="00524857" w:rsidRPr="585CE774">
        <w:rPr>
          <w:rFonts w:ascii="Arial" w:hAnsi="Arial" w:cs="Arial"/>
        </w:rPr>
        <w:t>ard</w:t>
      </w:r>
      <w:r w:rsidRPr="585CE774">
        <w:rPr>
          <w:rFonts w:ascii="Arial" w:hAnsi="Arial" w:cs="Arial"/>
        </w:rPr>
        <w:t xml:space="preserve"> (or the finance committee) and decisions duly </w:t>
      </w:r>
      <w:proofErr w:type="spellStart"/>
      <w:r w:rsidRPr="585CE774">
        <w:rPr>
          <w:rFonts w:ascii="Arial" w:hAnsi="Arial" w:cs="Arial"/>
        </w:rPr>
        <w:t>minuted</w:t>
      </w:r>
      <w:proofErr w:type="spellEnd"/>
      <w:r w:rsidRPr="585CE774">
        <w:rPr>
          <w:rFonts w:ascii="Arial" w:hAnsi="Arial" w:cs="Arial"/>
        </w:rPr>
        <w:t>.</w:t>
      </w:r>
    </w:p>
    <w:p w14:paraId="65624D84" w14:textId="1A8172EC" w:rsidR="00524857" w:rsidRPr="00F52074" w:rsidRDefault="000418D8" w:rsidP="00D13A0A">
      <w:pPr>
        <w:pStyle w:val="NormalWeb"/>
        <w:numPr>
          <w:ilvl w:val="1"/>
          <w:numId w:val="18"/>
        </w:numPr>
        <w:tabs>
          <w:tab w:val="left" w:pos="1418"/>
        </w:tabs>
        <w:spacing w:before="0" w:beforeAutospacing="0" w:after="0" w:afterAutospacing="0"/>
        <w:ind w:left="1418" w:hanging="425"/>
        <w:rPr>
          <w:rFonts w:ascii="Arial" w:hAnsi="Arial" w:cs="Arial"/>
        </w:rPr>
      </w:pPr>
      <w:r w:rsidRPr="585CE774">
        <w:rPr>
          <w:rFonts w:ascii="Arial" w:hAnsi="Arial" w:cs="Arial"/>
        </w:rPr>
        <w:t>The headteacher and governing bo</w:t>
      </w:r>
      <w:r w:rsidR="00524857" w:rsidRPr="585CE774">
        <w:rPr>
          <w:rFonts w:ascii="Arial" w:hAnsi="Arial" w:cs="Arial"/>
        </w:rPr>
        <w:t>ard</w:t>
      </w:r>
      <w:r w:rsidRPr="585CE774">
        <w:rPr>
          <w:rFonts w:ascii="Arial" w:hAnsi="Arial" w:cs="Arial"/>
        </w:rPr>
        <w:t xml:space="preserve"> </w:t>
      </w:r>
      <w:r w:rsidR="00F52074" w:rsidRPr="585CE774">
        <w:rPr>
          <w:rFonts w:ascii="Arial" w:hAnsi="Arial" w:cs="Arial"/>
        </w:rPr>
        <w:t>will</w:t>
      </w:r>
      <w:r w:rsidRPr="585CE774">
        <w:rPr>
          <w:rFonts w:ascii="Arial" w:hAnsi="Arial" w:cs="Arial"/>
        </w:rPr>
        <w:t xml:space="preserve"> monitor the operation of the arrangements and their impact on staff and pupils and </w:t>
      </w:r>
      <w:proofErr w:type="gramStart"/>
      <w:r w:rsidRPr="585CE774">
        <w:rPr>
          <w:rFonts w:ascii="Arial" w:hAnsi="Arial" w:cs="Arial"/>
        </w:rPr>
        <w:t>take action</w:t>
      </w:r>
      <w:proofErr w:type="gramEnd"/>
      <w:r w:rsidRPr="585CE774">
        <w:rPr>
          <w:rFonts w:ascii="Arial" w:hAnsi="Arial" w:cs="Arial"/>
        </w:rPr>
        <w:t xml:space="preserve"> where arrangements prove to be unsatisfactory.</w:t>
      </w:r>
    </w:p>
    <w:p w14:paraId="10DA3705" w14:textId="77777777" w:rsidR="00524857" w:rsidRPr="00F52074" w:rsidRDefault="000418D8" w:rsidP="00D13A0A">
      <w:pPr>
        <w:pStyle w:val="NormalWeb"/>
        <w:numPr>
          <w:ilvl w:val="1"/>
          <w:numId w:val="18"/>
        </w:numPr>
        <w:tabs>
          <w:tab w:val="left" w:pos="1418"/>
        </w:tabs>
        <w:spacing w:before="0" w:beforeAutospacing="0" w:after="0" w:afterAutospacing="0"/>
        <w:ind w:left="1418" w:hanging="425"/>
        <w:rPr>
          <w:rFonts w:ascii="Arial" w:hAnsi="Arial" w:cs="Arial"/>
        </w:rPr>
      </w:pPr>
      <w:r w:rsidRPr="585CE774">
        <w:rPr>
          <w:rFonts w:ascii="Arial" w:hAnsi="Arial" w:cs="Arial"/>
        </w:rPr>
        <w:t>The disposition of any payment, including personal remuneration, for external services must be agreed in advance in accordance with the determinations of the governing b</w:t>
      </w:r>
      <w:r w:rsidR="00524857" w:rsidRPr="585CE774">
        <w:rPr>
          <w:rFonts w:ascii="Arial" w:hAnsi="Arial" w:cs="Arial"/>
        </w:rPr>
        <w:t>oard</w:t>
      </w:r>
      <w:r w:rsidRPr="585CE774">
        <w:rPr>
          <w:rFonts w:ascii="Arial" w:hAnsi="Arial" w:cs="Arial"/>
        </w:rPr>
        <w:t>. The terms of such an agreement must be set out in a memorandum signed by the chair of governors and the headteacher and any other members of staff involved.</w:t>
      </w:r>
    </w:p>
    <w:p w14:paraId="0CAB2CB6" w14:textId="77777777" w:rsidR="00524857" w:rsidRPr="00F52074" w:rsidRDefault="000418D8" w:rsidP="00D13A0A">
      <w:pPr>
        <w:pStyle w:val="NormalWeb"/>
        <w:numPr>
          <w:ilvl w:val="1"/>
          <w:numId w:val="18"/>
        </w:numPr>
        <w:tabs>
          <w:tab w:val="left" w:pos="1418"/>
        </w:tabs>
        <w:spacing w:before="0" w:beforeAutospacing="0" w:after="0" w:afterAutospacing="0"/>
        <w:ind w:left="1418" w:hanging="425"/>
        <w:rPr>
          <w:rFonts w:ascii="Arial" w:hAnsi="Arial" w:cs="Arial"/>
        </w:rPr>
      </w:pPr>
      <w:r w:rsidRPr="585CE774">
        <w:rPr>
          <w:rFonts w:ascii="Arial" w:hAnsi="Arial" w:cs="Arial"/>
        </w:rPr>
        <w:t>Any income derived from external sources for the work of a school’s staff should accrue to the school. The governing bo</w:t>
      </w:r>
      <w:r w:rsidR="00524857" w:rsidRPr="585CE774">
        <w:rPr>
          <w:rFonts w:ascii="Arial" w:hAnsi="Arial" w:cs="Arial"/>
        </w:rPr>
        <w:t>ard</w:t>
      </w:r>
      <w:r w:rsidRPr="585CE774">
        <w:rPr>
          <w:rFonts w:ascii="Arial" w:hAnsi="Arial" w:cs="Arial"/>
        </w:rPr>
        <w:t xml:space="preserve"> </w:t>
      </w:r>
      <w:r w:rsidR="00524857" w:rsidRPr="585CE774">
        <w:rPr>
          <w:rFonts w:ascii="Arial" w:hAnsi="Arial" w:cs="Arial"/>
        </w:rPr>
        <w:t>will</w:t>
      </w:r>
      <w:r w:rsidRPr="585CE774">
        <w:rPr>
          <w:rFonts w:ascii="Arial" w:hAnsi="Arial" w:cs="Arial"/>
        </w:rPr>
        <w:t xml:space="preserve"> decide whether it would be appropriate for individual members of staff to receive additional remuneration for these activities and, if so, determine the appropriate amount.</w:t>
      </w:r>
    </w:p>
    <w:p w14:paraId="067A2E99" w14:textId="6D01976E" w:rsidR="009C717A" w:rsidRPr="00F52074" w:rsidRDefault="000418D8" w:rsidP="00D13A0A">
      <w:pPr>
        <w:pStyle w:val="NormalWeb"/>
        <w:numPr>
          <w:ilvl w:val="1"/>
          <w:numId w:val="18"/>
        </w:numPr>
        <w:tabs>
          <w:tab w:val="left" w:pos="1418"/>
        </w:tabs>
        <w:spacing w:before="0" w:beforeAutospacing="0" w:after="0" w:afterAutospacing="0"/>
        <w:ind w:left="1418" w:hanging="425"/>
        <w:rPr>
          <w:rFonts w:ascii="Arial" w:hAnsi="Arial" w:cs="Arial"/>
        </w:rPr>
      </w:pPr>
      <w:r w:rsidRPr="585CE774">
        <w:rPr>
          <w:rFonts w:ascii="Arial" w:hAnsi="Arial" w:cs="Arial"/>
        </w:rPr>
        <w:t>The governing bo</w:t>
      </w:r>
      <w:r w:rsidR="00524857" w:rsidRPr="585CE774">
        <w:rPr>
          <w:rFonts w:ascii="Arial" w:hAnsi="Arial" w:cs="Arial"/>
        </w:rPr>
        <w:t>ard</w:t>
      </w:r>
      <w:r w:rsidRPr="585CE774">
        <w:rPr>
          <w:rFonts w:ascii="Arial" w:hAnsi="Arial" w:cs="Arial"/>
        </w:rPr>
        <w:t xml:space="preserve"> </w:t>
      </w:r>
      <w:r w:rsidR="00524857" w:rsidRPr="585CE774">
        <w:rPr>
          <w:rFonts w:ascii="Arial" w:hAnsi="Arial" w:cs="Arial"/>
        </w:rPr>
        <w:t>will</w:t>
      </w:r>
      <w:r w:rsidRPr="585CE774">
        <w:rPr>
          <w:rFonts w:ascii="Arial" w:hAnsi="Arial" w:cs="Arial"/>
        </w:rPr>
        <w:t xml:space="preserve"> ensure that any expenses incurred by the individual </w:t>
      </w:r>
      <w:proofErr w:type="gramStart"/>
      <w:r w:rsidRPr="585CE774">
        <w:rPr>
          <w:rFonts w:ascii="Arial" w:hAnsi="Arial" w:cs="Arial"/>
        </w:rPr>
        <w:t>as a result of</w:t>
      </w:r>
      <w:proofErr w:type="gramEnd"/>
      <w:r w:rsidRPr="585CE774">
        <w:rPr>
          <w:rFonts w:ascii="Arial" w:hAnsi="Arial" w:cs="Arial"/>
        </w:rPr>
        <w:t xml:space="preserve"> taking on additional work are reimbursed, unless they are accounted for elsewhere.</w:t>
      </w:r>
    </w:p>
    <w:p w14:paraId="05AC687F" w14:textId="77777777" w:rsidR="00D939FA" w:rsidRPr="001E60FA" w:rsidRDefault="00D939FA" w:rsidP="585CE774"/>
    <w:p w14:paraId="371DBADE" w14:textId="4F9DA560" w:rsidR="00354D80" w:rsidRPr="001E60FA" w:rsidRDefault="00354D80" w:rsidP="00AD0FCE">
      <w:pPr>
        <w:ind w:firstLine="709"/>
        <w:rPr>
          <w:b/>
          <w:bCs/>
        </w:rPr>
      </w:pPr>
      <w:r w:rsidRPr="00AD0FCE">
        <w:rPr>
          <w:b/>
          <w:bCs/>
        </w:rPr>
        <w:t>P</w:t>
      </w:r>
      <w:r w:rsidRPr="585CE774">
        <w:rPr>
          <w:b/>
          <w:bCs/>
        </w:rPr>
        <w:t>ension Implications</w:t>
      </w:r>
    </w:p>
    <w:p w14:paraId="54F8B7F0" w14:textId="331F2353" w:rsidR="00194488" w:rsidRPr="00786DBB" w:rsidRDefault="00C57C3C" w:rsidP="585CE774">
      <w:pPr>
        <w:ind w:left="720"/>
      </w:pPr>
      <w:r>
        <w:t xml:space="preserve">Appropriate consideration will be given to </w:t>
      </w:r>
      <w:r w:rsidR="00926718">
        <w:t>whether an additional payment is pensionable</w:t>
      </w:r>
      <w:r w:rsidR="00A41CD2">
        <w:t xml:space="preserve">. </w:t>
      </w:r>
      <w:r w:rsidR="00194488">
        <w:t xml:space="preserve">Advice can be found on the teacher pension website  </w:t>
      </w:r>
      <w:hyperlink r:id="rId13">
        <w:r w:rsidR="00194488" w:rsidRPr="585CE774">
          <w:rPr>
            <w:rStyle w:val="Hyperlink"/>
          </w:rPr>
          <w:t>Who is Eligible? (teacherspensions.co.uk)</w:t>
        </w:r>
      </w:hyperlink>
      <w:r w:rsidR="00194488" w:rsidRPr="585CE774">
        <w:rPr>
          <w:rStyle w:val="Hyperlink"/>
        </w:rPr>
        <w:t xml:space="preserve"> </w:t>
      </w:r>
      <w:r w:rsidR="00194488" w:rsidRPr="585CE774">
        <w:rPr>
          <w:rStyle w:val="Hyperlink"/>
          <w:color w:val="auto"/>
        </w:rPr>
        <w:t xml:space="preserve">and </w:t>
      </w:r>
      <w:hyperlink r:id="rId14">
        <w:r w:rsidR="00194488" w:rsidRPr="585CE774">
          <w:rPr>
            <w:rStyle w:val="Hyperlink"/>
          </w:rPr>
          <w:t>Non pensionable pay | Contributions | Managing Members | Teachers' Pensions (teacherspensions.co.uk)</w:t>
        </w:r>
      </w:hyperlink>
    </w:p>
    <w:p w14:paraId="427B0935" w14:textId="64B55AC9" w:rsidR="00354D80" w:rsidRPr="00194488" w:rsidRDefault="00B0490F" w:rsidP="585CE774">
      <w:pPr>
        <w:ind w:left="720"/>
      </w:pPr>
      <w:r>
        <w:t>The school will seek appropriate advice from their payroll/pension administrator</w:t>
      </w:r>
      <w:r w:rsidR="00A41CD2">
        <w:t>.</w:t>
      </w:r>
      <w:r w:rsidR="00194488">
        <w:t xml:space="preserve"> </w:t>
      </w:r>
    </w:p>
    <w:p w14:paraId="515C8453" w14:textId="77777777" w:rsidR="00354D80" w:rsidRPr="00194488" w:rsidRDefault="00354D80" w:rsidP="00124D59">
      <w:pPr>
        <w:rPr>
          <w:szCs w:val="24"/>
        </w:rPr>
      </w:pPr>
    </w:p>
    <w:p w14:paraId="2B54EAE4" w14:textId="6A4107CC" w:rsidR="004173E7" w:rsidRDefault="004173E7" w:rsidP="585CE774"/>
    <w:p w14:paraId="75C0C11C" w14:textId="7F5EE8F5" w:rsidR="00F647F1" w:rsidRPr="00F647F1" w:rsidRDefault="003D0661" w:rsidP="585CE774">
      <w:pPr>
        <w:rPr>
          <w:b/>
          <w:bCs/>
          <w:sz w:val="36"/>
          <w:szCs w:val="36"/>
        </w:rPr>
      </w:pPr>
      <w:r>
        <w:rPr>
          <w:b/>
          <w:bCs/>
          <w:sz w:val="36"/>
          <w:szCs w:val="36"/>
        </w:rPr>
        <w:t>20</w:t>
      </w:r>
      <w:r w:rsidR="00F647F1">
        <w:tab/>
      </w:r>
      <w:bookmarkStart w:id="36" w:name="AUnQT"/>
      <w:r w:rsidR="00F647F1" w:rsidRPr="585CE774">
        <w:rPr>
          <w:b/>
          <w:bCs/>
          <w:sz w:val="36"/>
          <w:szCs w:val="36"/>
        </w:rPr>
        <w:t>Allowances for unqualified teachers</w:t>
      </w:r>
      <w:bookmarkEnd w:id="36"/>
    </w:p>
    <w:p w14:paraId="7EBD55AA" w14:textId="77777777" w:rsidR="00F647F1" w:rsidRPr="00F647F1" w:rsidRDefault="00F647F1" w:rsidP="585CE774">
      <w:pPr>
        <w:rPr>
          <w:b/>
          <w:bCs/>
        </w:rPr>
      </w:pPr>
    </w:p>
    <w:p w14:paraId="35C778A0" w14:textId="0924443A" w:rsidR="00F647F1" w:rsidRPr="00F647F1" w:rsidRDefault="00F647F1" w:rsidP="585CE774">
      <w:pPr>
        <w:ind w:left="720" w:hanging="720"/>
      </w:pPr>
      <w:r>
        <w:t>2</w:t>
      </w:r>
      <w:r w:rsidR="003D0661">
        <w:t>0</w:t>
      </w:r>
      <w:r>
        <w:t>.1</w:t>
      </w:r>
      <w:bookmarkStart w:id="37" w:name="AdditionalPayments"/>
      <w:r>
        <w:tab/>
        <w:t>The Governing Body may determine that such additional allowance as it considers appropriate is to be paid to an unqualified teacher where it considers</w:t>
      </w:r>
      <w:r w:rsidR="00A827EB">
        <w:t xml:space="preserve"> </w:t>
      </w:r>
      <w:r>
        <w:t xml:space="preserve">that the teacher has: </w:t>
      </w:r>
    </w:p>
    <w:p w14:paraId="719E70FB" w14:textId="77777777" w:rsidR="00F647F1" w:rsidRPr="00F647F1" w:rsidRDefault="00F647F1" w:rsidP="585CE774">
      <w:pPr>
        <w:ind w:left="720" w:hanging="720"/>
      </w:pPr>
    </w:p>
    <w:p w14:paraId="3C53129D" w14:textId="5D700C0F" w:rsidR="00F647F1" w:rsidRPr="003174F7" w:rsidRDefault="00F647F1" w:rsidP="00D13A0A">
      <w:pPr>
        <w:pStyle w:val="ListParagraph"/>
        <w:numPr>
          <w:ilvl w:val="0"/>
          <w:numId w:val="26"/>
        </w:numPr>
        <w:ind w:left="1418" w:hanging="425"/>
        <w:rPr>
          <w:rFonts w:ascii="Arial" w:hAnsi="Arial" w:cs="Arial"/>
        </w:rPr>
      </w:pPr>
      <w:r w:rsidRPr="003174F7">
        <w:rPr>
          <w:rFonts w:ascii="Arial" w:hAnsi="Arial" w:cs="Arial"/>
        </w:rPr>
        <w:t xml:space="preserve">taken on a sustained additional responsibility which: </w:t>
      </w:r>
    </w:p>
    <w:p w14:paraId="7398629F" w14:textId="590F45B5" w:rsidR="00F647F1" w:rsidRPr="00F647F1" w:rsidRDefault="00F647F1" w:rsidP="00D13A0A">
      <w:pPr>
        <w:pStyle w:val="ListParagraph"/>
        <w:numPr>
          <w:ilvl w:val="1"/>
          <w:numId w:val="27"/>
        </w:numPr>
        <w:ind w:left="1985" w:hanging="284"/>
      </w:pPr>
      <w:r>
        <w:lastRenderedPageBreak/>
        <w:t xml:space="preserve">is focused on teaching and learning; and </w:t>
      </w:r>
    </w:p>
    <w:p w14:paraId="4A9B6BCB" w14:textId="4BB59404" w:rsidR="00F647F1" w:rsidRPr="00F647F1" w:rsidRDefault="00F647F1" w:rsidP="00D13A0A">
      <w:pPr>
        <w:pStyle w:val="ListParagraph"/>
        <w:numPr>
          <w:ilvl w:val="1"/>
          <w:numId w:val="27"/>
        </w:numPr>
        <w:ind w:left="1985" w:hanging="284"/>
      </w:pPr>
      <w:r>
        <w:t xml:space="preserve">requires the exercise of a teacher’s professional skills and judgment; or </w:t>
      </w:r>
    </w:p>
    <w:p w14:paraId="0ECE8CC5" w14:textId="77777777" w:rsidR="00F647F1" w:rsidRPr="00F647F1" w:rsidRDefault="00F647F1" w:rsidP="585CE774">
      <w:pPr>
        <w:ind w:left="720"/>
      </w:pPr>
    </w:p>
    <w:p w14:paraId="7D64F5D1" w14:textId="393B4236" w:rsidR="004360AF" w:rsidRPr="00D13A0A" w:rsidRDefault="00F647F1" w:rsidP="00D13A0A">
      <w:pPr>
        <w:pStyle w:val="ListParagraph"/>
        <w:numPr>
          <w:ilvl w:val="0"/>
          <w:numId w:val="26"/>
        </w:numPr>
        <w:ind w:left="1418" w:hanging="447"/>
        <w:rPr>
          <w:rFonts w:ascii="Arial" w:hAnsi="Arial" w:cs="Arial"/>
        </w:rPr>
      </w:pPr>
      <w:r w:rsidRPr="003174F7">
        <w:rPr>
          <w:rFonts w:ascii="Arial" w:hAnsi="Arial" w:cs="Arial"/>
        </w:rPr>
        <w:t>qualifications or experience which bring added value to the role being undertaken.</w:t>
      </w:r>
      <w:bookmarkEnd w:id="37"/>
    </w:p>
    <w:p w14:paraId="0D5B0866" w14:textId="77777777" w:rsidR="00AE3CD8" w:rsidRDefault="00AE3CD8" w:rsidP="585CE774"/>
    <w:p w14:paraId="3F88FF17" w14:textId="35000235" w:rsidR="0047080B" w:rsidRPr="00966766" w:rsidRDefault="00966766" w:rsidP="585CE774">
      <w:pPr>
        <w:rPr>
          <w:b/>
          <w:bCs/>
          <w:sz w:val="36"/>
          <w:szCs w:val="36"/>
        </w:rPr>
      </w:pPr>
      <w:bookmarkStart w:id="38" w:name="RecruitmentandRet"/>
      <w:r w:rsidRPr="585CE774">
        <w:rPr>
          <w:b/>
          <w:bCs/>
          <w:sz w:val="36"/>
          <w:szCs w:val="36"/>
        </w:rPr>
        <w:t>2</w:t>
      </w:r>
      <w:r w:rsidR="003D0661">
        <w:rPr>
          <w:b/>
          <w:bCs/>
          <w:sz w:val="36"/>
          <w:szCs w:val="36"/>
        </w:rPr>
        <w:t>1</w:t>
      </w:r>
      <w:r>
        <w:tab/>
      </w:r>
      <w:r w:rsidR="0047080B" w:rsidRPr="585CE774">
        <w:rPr>
          <w:b/>
          <w:bCs/>
          <w:sz w:val="36"/>
          <w:szCs w:val="36"/>
        </w:rPr>
        <w:t>Recruitment and Retention Incentive</w:t>
      </w:r>
    </w:p>
    <w:bookmarkEnd w:id="38"/>
    <w:p w14:paraId="05AEEE99" w14:textId="77777777" w:rsidR="0047080B" w:rsidRPr="0047080B" w:rsidRDefault="0047080B" w:rsidP="585CE774">
      <w:pPr>
        <w:rPr>
          <w:b/>
          <w:bCs/>
        </w:rPr>
      </w:pPr>
    </w:p>
    <w:p w14:paraId="69D1764C" w14:textId="33ADE408" w:rsidR="00A13230" w:rsidRDefault="0096515F" w:rsidP="585CE774">
      <w:pPr>
        <w:ind w:left="720" w:hanging="720"/>
      </w:pPr>
      <w:r>
        <w:t>2</w:t>
      </w:r>
      <w:r w:rsidR="003D0661">
        <w:t>1</w:t>
      </w:r>
      <w:r>
        <w:t>.1</w:t>
      </w:r>
      <w:r>
        <w:tab/>
      </w:r>
      <w:r w:rsidR="006E1E64">
        <w:t xml:space="preserve">The Governing Board will award </w:t>
      </w:r>
      <w:r w:rsidR="005B4910">
        <w:t xml:space="preserve">Recruitment and Retention payments </w:t>
      </w:r>
      <w:r w:rsidR="006E1E64">
        <w:t>w</w:t>
      </w:r>
      <w:r w:rsidR="005B4910">
        <w:t>here it is considered necessary</w:t>
      </w:r>
      <w:r w:rsidR="006E1E64">
        <w:t xml:space="preserve"> as an incentive for the recruitment of new </w:t>
      </w:r>
      <w:r w:rsidR="00806D55">
        <w:t xml:space="preserve">classroom </w:t>
      </w:r>
      <w:r w:rsidR="006E1E64">
        <w:t xml:space="preserve">teachers and the retention of existing </w:t>
      </w:r>
      <w:r w:rsidR="00B122AA">
        <w:t xml:space="preserve">classroom </w:t>
      </w:r>
      <w:r w:rsidR="006E1E64">
        <w:t>teachers</w:t>
      </w:r>
      <w:r w:rsidR="005B4910">
        <w:t>.</w:t>
      </w:r>
      <w:r w:rsidR="00C84994">
        <w:t xml:space="preserve">  This is not a permanent payment and all R&amp;R payments awarded must be justified. </w:t>
      </w:r>
    </w:p>
    <w:p w14:paraId="50571365" w14:textId="77777777" w:rsidR="00A13230" w:rsidRDefault="00A13230" w:rsidP="585CE774">
      <w:pPr>
        <w:ind w:left="720" w:hanging="720"/>
      </w:pPr>
    </w:p>
    <w:p w14:paraId="305B59B9" w14:textId="120F403E" w:rsidR="00E02166" w:rsidRDefault="00A13230" w:rsidP="585CE774">
      <w:pPr>
        <w:ind w:left="720" w:hanging="720"/>
      </w:pPr>
      <w:r>
        <w:t>2</w:t>
      </w:r>
      <w:r w:rsidR="003D0661">
        <w:t>1</w:t>
      </w:r>
      <w:r>
        <w:t>.2</w:t>
      </w:r>
      <w:r>
        <w:tab/>
      </w:r>
      <w:r w:rsidR="000F3B5D">
        <w:t>The amount for such payment will be determined to meet the circumstances of the case.  Written notification will be provided at the time of the award in line with the guidance within the STPCD and</w:t>
      </w:r>
      <w:r w:rsidR="000F3B5D" w:rsidRPr="585CE774">
        <w:rPr>
          <w:color w:val="FF0000"/>
        </w:rPr>
        <w:t xml:space="preserve"> </w:t>
      </w:r>
      <w:r w:rsidR="000F3B5D">
        <w:t>will make it clear from the beginning, the expected duration of any award and the review date after which it may be withdrawn.</w:t>
      </w:r>
      <w:r w:rsidR="0006350B">
        <w:t xml:space="preserve"> </w:t>
      </w:r>
      <w:r w:rsidR="00C84994">
        <w:t>Records m</w:t>
      </w:r>
      <w:r w:rsidR="00806D55">
        <w:t>u</w:t>
      </w:r>
      <w:r w:rsidR="00C84994">
        <w:t>st be kept as to why the payment is being made</w:t>
      </w:r>
      <w:r w:rsidR="0006350B">
        <w:t xml:space="preserve"> together with</w:t>
      </w:r>
      <w:r w:rsidR="00C6054B">
        <w:t xml:space="preserve"> details of the amount being paid</w:t>
      </w:r>
      <w:r w:rsidR="0006350B">
        <w:t xml:space="preserve"> with justification for the amount</w:t>
      </w:r>
      <w:r w:rsidR="00C6054B">
        <w:t xml:space="preserve">.  </w:t>
      </w:r>
    </w:p>
    <w:p w14:paraId="4B40263C" w14:textId="77777777" w:rsidR="00E02166" w:rsidRDefault="00E02166" w:rsidP="585CE774">
      <w:pPr>
        <w:ind w:left="720" w:hanging="720"/>
      </w:pPr>
    </w:p>
    <w:p w14:paraId="4D39D099" w14:textId="3F545C2C" w:rsidR="00F647F1" w:rsidRPr="0006350B" w:rsidRDefault="00A13230" w:rsidP="585CE774">
      <w:pPr>
        <w:ind w:left="720" w:hanging="720"/>
      </w:pPr>
      <w:r>
        <w:t>2</w:t>
      </w:r>
      <w:r w:rsidR="003D0661">
        <w:t>1</w:t>
      </w:r>
      <w:r>
        <w:t>.3</w:t>
      </w:r>
      <w:r>
        <w:tab/>
      </w:r>
      <w:r w:rsidR="00C6054B">
        <w:t xml:space="preserve">The R&amp;R payment must be </w:t>
      </w:r>
      <w:r w:rsidR="00806D55">
        <w:t>reviewed,</w:t>
      </w:r>
      <w:r w:rsidR="00C6054B">
        <w:t xml:space="preserve"> and the </w:t>
      </w:r>
      <w:r w:rsidR="00806D55">
        <w:t xml:space="preserve">classroom teacher must be </w:t>
      </w:r>
      <w:r w:rsidR="00E02166">
        <w:t>made a</w:t>
      </w:r>
      <w:r w:rsidR="00806D55">
        <w:t>ware that the payment will be subject to review</w:t>
      </w:r>
      <w:r w:rsidR="00E02166">
        <w:t xml:space="preserve"> and can be withdrawn</w:t>
      </w:r>
      <w:r w:rsidR="00806D55">
        <w:t>.</w:t>
      </w:r>
    </w:p>
    <w:p w14:paraId="481BF616" w14:textId="77777777" w:rsidR="00F647F1" w:rsidRDefault="00F647F1" w:rsidP="585CE774">
      <w:pPr>
        <w:ind w:left="720" w:hanging="720"/>
      </w:pPr>
    </w:p>
    <w:p w14:paraId="230423DF" w14:textId="701CBF8E" w:rsidR="0047080B" w:rsidRPr="0047080B" w:rsidRDefault="00806D55" w:rsidP="585CE774">
      <w:pPr>
        <w:ind w:left="720" w:hanging="720"/>
      </w:pPr>
      <w:r>
        <w:t>2</w:t>
      </w:r>
      <w:r w:rsidR="003D0661">
        <w:t>1</w:t>
      </w:r>
      <w:r>
        <w:t>.</w:t>
      </w:r>
      <w:r w:rsidR="00933460">
        <w:t>4</w:t>
      </w:r>
      <w:r>
        <w:tab/>
      </w:r>
      <w:r w:rsidR="008D49D2" w:rsidRPr="74AE8F71">
        <w:rPr>
          <w:b/>
          <w:bCs/>
        </w:rPr>
        <w:t>Members</w:t>
      </w:r>
      <w:r w:rsidR="0047080B" w:rsidRPr="74AE8F71">
        <w:rPr>
          <w:b/>
          <w:bCs/>
        </w:rPr>
        <w:t xml:space="preserve"> of the Leadership Group</w:t>
      </w:r>
      <w:r w:rsidR="00894516" w:rsidRPr="74AE8F71">
        <w:rPr>
          <w:b/>
          <w:bCs/>
        </w:rPr>
        <w:t xml:space="preserve"> (headteacher, deputy headteacher or assistant headteacher)</w:t>
      </w:r>
      <w:r w:rsidR="0047080B" w:rsidRPr="74AE8F71">
        <w:rPr>
          <w:b/>
          <w:bCs/>
        </w:rPr>
        <w:t xml:space="preserve"> will not be awarded such payments other than for housing or relocation costs.</w:t>
      </w:r>
      <w:r w:rsidR="0065500A">
        <w:t xml:space="preserve"> All other recruitment and retention considerations in relation to a headteacher, deputy headteacher or assistant headteacher – including non-monetary benefits – must be </w:t>
      </w:r>
      <w:proofErr w:type="gramStart"/>
      <w:r w:rsidR="0065500A">
        <w:t>taken into account</w:t>
      </w:r>
      <w:proofErr w:type="gramEnd"/>
      <w:r w:rsidR="0065500A">
        <w:t xml:space="preserve"> when determining the pay range</w:t>
      </w:r>
      <w:r w:rsidR="00DA7C6C">
        <w:t>.</w:t>
      </w:r>
    </w:p>
    <w:p w14:paraId="20950E65" w14:textId="77777777" w:rsidR="0047080B" w:rsidRPr="0047080B" w:rsidRDefault="0047080B" w:rsidP="585CE774"/>
    <w:p w14:paraId="3C988369" w14:textId="54A6F509" w:rsidR="00A47E42" w:rsidRDefault="0096515F" w:rsidP="585CE774">
      <w:r>
        <w:t>2</w:t>
      </w:r>
      <w:r w:rsidR="003D0661">
        <w:t>1</w:t>
      </w:r>
      <w:r>
        <w:t>.</w:t>
      </w:r>
      <w:r w:rsidR="00933460">
        <w:t>5</w:t>
      </w:r>
      <w:r>
        <w:tab/>
      </w:r>
      <w:r w:rsidR="0047080B">
        <w:t>The Governing Board will conduct an annual review of all awards.</w:t>
      </w:r>
    </w:p>
    <w:p w14:paraId="1A0DE5C2" w14:textId="77777777" w:rsidR="0027531D" w:rsidRDefault="0027531D" w:rsidP="585CE774"/>
    <w:p w14:paraId="3DA44B2D" w14:textId="3B6EF0F8" w:rsidR="0047080B" w:rsidRPr="00966766" w:rsidRDefault="00966766" w:rsidP="585CE774">
      <w:pPr>
        <w:rPr>
          <w:b/>
          <w:bCs/>
          <w:sz w:val="36"/>
          <w:szCs w:val="36"/>
        </w:rPr>
      </w:pPr>
      <w:bookmarkStart w:id="39" w:name="ActingAllow"/>
      <w:r w:rsidRPr="585CE774">
        <w:rPr>
          <w:b/>
          <w:bCs/>
          <w:sz w:val="36"/>
          <w:szCs w:val="36"/>
        </w:rPr>
        <w:t>2</w:t>
      </w:r>
      <w:r w:rsidR="003D0661">
        <w:rPr>
          <w:b/>
          <w:bCs/>
          <w:sz w:val="36"/>
          <w:szCs w:val="36"/>
        </w:rPr>
        <w:t>2</w:t>
      </w:r>
      <w:r>
        <w:tab/>
      </w:r>
      <w:r w:rsidR="0047080B" w:rsidRPr="585CE774">
        <w:rPr>
          <w:b/>
          <w:bCs/>
          <w:sz w:val="36"/>
          <w:szCs w:val="36"/>
        </w:rPr>
        <w:t>Acting Allowance</w:t>
      </w:r>
    </w:p>
    <w:bookmarkEnd w:id="39"/>
    <w:p w14:paraId="62E4D7A2" w14:textId="77777777" w:rsidR="0047080B" w:rsidRPr="0047080B" w:rsidRDefault="0047080B" w:rsidP="585CE774"/>
    <w:p w14:paraId="5E1D7104" w14:textId="4E8A3A33" w:rsidR="003C53DC" w:rsidRDefault="000163C3" w:rsidP="585CE774">
      <w:pPr>
        <w:ind w:left="720" w:hanging="720"/>
      </w:pPr>
      <w:r>
        <w:t>2</w:t>
      </w:r>
      <w:r w:rsidR="003D0661">
        <w:t>2</w:t>
      </w:r>
      <w:r>
        <w:t>.</w:t>
      </w:r>
      <w:r w:rsidR="008F3278">
        <w:t>1</w:t>
      </w:r>
      <w:r>
        <w:tab/>
      </w:r>
      <w:r w:rsidR="002C10CA">
        <w:t>If the headteacher is absent from the school a deputy headteacher must undertake their professional duties to the extent required by the headteacher or the governing board.</w:t>
      </w:r>
      <w:r w:rsidR="00566151">
        <w:t xml:space="preserve"> </w:t>
      </w:r>
    </w:p>
    <w:p w14:paraId="61776DCF" w14:textId="77777777" w:rsidR="003C53DC" w:rsidRDefault="003C53DC" w:rsidP="585CE774">
      <w:pPr>
        <w:ind w:left="720" w:hanging="720"/>
      </w:pPr>
    </w:p>
    <w:p w14:paraId="39F9704F" w14:textId="0013A402" w:rsidR="000163C3" w:rsidRPr="00D6063A" w:rsidRDefault="003C53DC" w:rsidP="585CE774">
      <w:pPr>
        <w:ind w:left="720" w:hanging="720"/>
      </w:pPr>
      <w:r>
        <w:t>2</w:t>
      </w:r>
      <w:r w:rsidR="003D0661">
        <w:t>2</w:t>
      </w:r>
      <w:r>
        <w:t>.2</w:t>
      </w:r>
      <w:r>
        <w:tab/>
      </w:r>
      <w:r w:rsidR="000163C3">
        <w:t xml:space="preserve">Where a teacher is assigned and carries out duties of a headteacher, deputy headteacher or assistant headteacher, but has not been appointed as an acting headteacher, deputy headteacher or assistant headteacher, the Governing Board must, within the period of four weeks beginning on the day on which such duties are first assigned and carried out, determine whether or not an allowance (“acting allowance”) must be paid in accordance with the </w:t>
      </w:r>
      <w:r w:rsidR="007D7B32">
        <w:t>STPCD</w:t>
      </w:r>
      <w:r w:rsidR="000163C3">
        <w:t>.</w:t>
      </w:r>
      <w:r w:rsidR="0077075A">
        <w:t xml:space="preserve">  If the teacher is carrying out the full duties of the </w:t>
      </w:r>
      <w:proofErr w:type="gramStart"/>
      <w:r w:rsidR="00337120">
        <w:t>higher level</w:t>
      </w:r>
      <w:proofErr w:type="gramEnd"/>
      <w:r w:rsidR="00337120">
        <w:t xml:space="preserve"> post an acting allowance should be paid.  </w:t>
      </w:r>
      <w:r w:rsidR="006C5388">
        <w:t xml:space="preserve">If the teacher is carrying out a percentage of the duties of the </w:t>
      </w:r>
      <w:proofErr w:type="gramStart"/>
      <w:r w:rsidR="006C5388">
        <w:t>higher level</w:t>
      </w:r>
      <w:proofErr w:type="gramEnd"/>
      <w:r w:rsidR="006C5388">
        <w:t xml:space="preserve"> post </w:t>
      </w:r>
      <w:r w:rsidR="00512818">
        <w:t xml:space="preserve">rather than the full post a decision would need to be taken as to what </w:t>
      </w:r>
      <w:r w:rsidR="00FF285C">
        <w:t xml:space="preserve">would be appropriate remuneration. </w:t>
      </w:r>
    </w:p>
    <w:p w14:paraId="203145C6" w14:textId="77777777" w:rsidR="008F3278" w:rsidRPr="00D6063A" w:rsidRDefault="008F3278" w:rsidP="585CE774">
      <w:pPr>
        <w:ind w:left="720" w:hanging="720"/>
      </w:pPr>
    </w:p>
    <w:p w14:paraId="144123C7" w14:textId="2D5B466D" w:rsidR="007407B9" w:rsidRPr="00D6063A" w:rsidRDefault="0043749A" w:rsidP="1011A7CF">
      <w:pPr>
        <w:ind w:left="720" w:hanging="720"/>
      </w:pPr>
      <w:r>
        <w:t>2</w:t>
      </w:r>
      <w:r w:rsidR="003D0661">
        <w:t>2</w:t>
      </w:r>
      <w:r>
        <w:t>.</w:t>
      </w:r>
      <w:r w:rsidR="000A791B">
        <w:t>3</w:t>
      </w:r>
      <w:r w:rsidR="007407B9">
        <w:tab/>
      </w:r>
      <w:r w:rsidR="008F3278">
        <w:t>Where a teacher is assigned and carries out the duties of a headteacher, deputy headteacher or assistant headteacher in relation to whom a pay range has been determined and an acting allowance is paid,</w:t>
      </w:r>
      <w:r w:rsidR="2812D2B0">
        <w:t xml:space="preserve"> as a minimum,</w:t>
      </w:r>
      <w:r w:rsidR="008F3278">
        <w:t xml:space="preserve"> th</w:t>
      </w:r>
      <w:r w:rsidR="001F433F">
        <w:t>e teacher will be paid the difference between their current pay point and the bottom of the pay range for the post being acted into</w:t>
      </w:r>
      <w:r w:rsidR="03BC14E0">
        <w:t>.</w:t>
      </w:r>
    </w:p>
    <w:p w14:paraId="0F296B72" w14:textId="488C4F65" w:rsidR="1011A7CF" w:rsidRDefault="1011A7CF" w:rsidP="1011A7CF">
      <w:pPr>
        <w:ind w:left="720" w:hanging="720"/>
      </w:pPr>
    </w:p>
    <w:p w14:paraId="6A6B1BB4" w14:textId="4896778A" w:rsidR="008F3278" w:rsidRPr="00D6063A" w:rsidRDefault="0043749A" w:rsidP="585CE774">
      <w:pPr>
        <w:ind w:left="720" w:hanging="720"/>
      </w:pPr>
      <w:r>
        <w:t>2</w:t>
      </w:r>
      <w:r w:rsidR="003D0661">
        <w:t>2</w:t>
      </w:r>
      <w:r>
        <w:t>.</w:t>
      </w:r>
      <w:r w:rsidR="000A791B">
        <w:t>4</w:t>
      </w:r>
      <w:r>
        <w:tab/>
      </w:r>
      <w:r w:rsidR="008F3278">
        <w:t>The teacher may be paid an acting allowance with effect from such day on or after the day on which duties of a headteacher, deputy headteacher or assistant headteacher are first assigned and carried out</w:t>
      </w:r>
      <w:r w:rsidR="007407B9">
        <w:t xml:space="preserve">.  </w:t>
      </w:r>
      <w:r w:rsidR="008F3278">
        <w:t xml:space="preserve">Where a teacher is paid an allowance, then for so long as that allowance is paid, Part 7 </w:t>
      </w:r>
      <w:r>
        <w:t xml:space="preserve">of the STPCD </w:t>
      </w:r>
      <w:r w:rsidR="008F3278">
        <w:t>applies as if the teacher has been appointed to that post permanently.</w:t>
      </w:r>
    </w:p>
    <w:p w14:paraId="00D66CE9" w14:textId="77777777" w:rsidR="007F0B6D" w:rsidRDefault="007F0B6D" w:rsidP="585CE774">
      <w:pPr>
        <w:rPr>
          <w:b/>
          <w:bCs/>
        </w:rPr>
      </w:pPr>
    </w:p>
    <w:p w14:paraId="2EE08C4C" w14:textId="77777777" w:rsidR="00DD1A1B" w:rsidRDefault="00DD1A1B" w:rsidP="585CE774">
      <w:pPr>
        <w:rPr>
          <w:b/>
          <w:bCs/>
        </w:rPr>
      </w:pPr>
    </w:p>
    <w:p w14:paraId="5CE27400" w14:textId="0FD85994" w:rsidR="00DD1A1B" w:rsidRPr="00D6063A" w:rsidRDefault="00DD1A1B" w:rsidP="585CE774">
      <w:pPr>
        <w:rPr>
          <w:b/>
          <w:bCs/>
          <w:sz w:val="36"/>
          <w:szCs w:val="36"/>
        </w:rPr>
      </w:pPr>
      <w:r w:rsidRPr="585CE774">
        <w:rPr>
          <w:b/>
          <w:bCs/>
          <w:sz w:val="36"/>
          <w:szCs w:val="36"/>
        </w:rPr>
        <w:t>2</w:t>
      </w:r>
      <w:r w:rsidR="003D0661">
        <w:rPr>
          <w:b/>
          <w:bCs/>
          <w:sz w:val="36"/>
          <w:szCs w:val="36"/>
        </w:rPr>
        <w:t>3</w:t>
      </w:r>
      <w:r>
        <w:tab/>
      </w:r>
      <w:bookmarkStart w:id="40" w:name="Hon"/>
      <w:r w:rsidRPr="585CE774">
        <w:rPr>
          <w:b/>
          <w:bCs/>
          <w:sz w:val="36"/>
          <w:szCs w:val="36"/>
        </w:rPr>
        <w:t>Honoraria</w:t>
      </w:r>
      <w:bookmarkEnd w:id="40"/>
    </w:p>
    <w:p w14:paraId="7688FB10" w14:textId="77777777" w:rsidR="00DD1A1B" w:rsidRPr="00D6063A" w:rsidRDefault="00DD1A1B" w:rsidP="585CE774"/>
    <w:p w14:paraId="1456B174" w14:textId="314C8C0B" w:rsidR="00DD1A1B" w:rsidRPr="00D6063A" w:rsidRDefault="00DD1A1B" w:rsidP="585CE774">
      <w:pPr>
        <w:ind w:left="720" w:hanging="720"/>
        <w:rPr>
          <w:shd w:val="clear" w:color="auto" w:fill="FFFFFF"/>
        </w:rPr>
      </w:pPr>
      <w:r w:rsidRPr="585CE774">
        <w:t>2</w:t>
      </w:r>
      <w:r w:rsidR="003D0661">
        <w:t>3</w:t>
      </w:r>
      <w:r w:rsidRPr="585CE774">
        <w:t>.1</w:t>
      </w:r>
      <w:r w:rsidR="00AD0FCE">
        <w:rPr>
          <w:szCs w:val="24"/>
        </w:rPr>
        <w:tab/>
      </w:r>
      <w:r w:rsidR="007339B3" w:rsidRPr="585CE774">
        <w:rPr>
          <w:shd w:val="clear" w:color="auto" w:fill="FFFFFF"/>
        </w:rPr>
        <w:t>The governing bo</w:t>
      </w:r>
      <w:r w:rsidR="006E1B9E" w:rsidRPr="585CE774">
        <w:rPr>
          <w:shd w:val="clear" w:color="auto" w:fill="FFFFFF"/>
        </w:rPr>
        <w:t>ard</w:t>
      </w:r>
      <w:r w:rsidR="007339B3" w:rsidRPr="585CE774">
        <w:rPr>
          <w:shd w:val="clear" w:color="auto" w:fill="FFFFFF"/>
        </w:rPr>
        <w:t xml:space="preserve"> will not pay any honoraria to any member of the teaching staff </w:t>
      </w:r>
      <w:r w:rsidR="005559F0" w:rsidRPr="585CE774">
        <w:rPr>
          <w:shd w:val="clear" w:color="auto" w:fill="FFFFFF"/>
        </w:rPr>
        <w:t xml:space="preserve">(including Headteacher and other members of the leadership team) </w:t>
      </w:r>
      <w:r w:rsidR="007339B3" w:rsidRPr="585CE774">
        <w:rPr>
          <w:shd w:val="clear" w:color="auto" w:fill="FFFFFF"/>
        </w:rPr>
        <w:t>for carrying out their professional duties as a teacher, recognising that there is no provision within the STPCD for the payment of bonuses or honoraria in any circumstances.</w:t>
      </w:r>
    </w:p>
    <w:p w14:paraId="66D9FE2E" w14:textId="77777777" w:rsidR="00F8687C" w:rsidRDefault="00F8687C" w:rsidP="585CE774">
      <w:pPr>
        <w:ind w:left="720" w:hanging="720"/>
        <w:rPr>
          <w:b/>
          <w:bCs/>
          <w:color w:val="FF0000"/>
        </w:rPr>
      </w:pPr>
    </w:p>
    <w:p w14:paraId="5FC2AEC0" w14:textId="67CC85F7" w:rsidR="00F8687C" w:rsidRDefault="00F8687C" w:rsidP="585CE774">
      <w:pPr>
        <w:ind w:left="720" w:hanging="720"/>
        <w:rPr>
          <w:b/>
          <w:bCs/>
          <w:color w:val="FF0000"/>
        </w:rPr>
      </w:pPr>
      <w:r>
        <w:br/>
      </w:r>
    </w:p>
    <w:p w14:paraId="1EBEC717" w14:textId="17E87315" w:rsidR="00F8687C" w:rsidRDefault="00F8687C" w:rsidP="585CE774">
      <w:pPr>
        <w:rPr>
          <w:b/>
          <w:bCs/>
          <w:color w:val="FF0000"/>
        </w:rPr>
      </w:pPr>
      <w:r w:rsidRPr="585CE774">
        <w:rPr>
          <w:b/>
          <w:bCs/>
          <w:color w:val="FF0000"/>
        </w:rPr>
        <w:br w:type="page"/>
      </w:r>
    </w:p>
    <w:p w14:paraId="1EC8B0B3" w14:textId="08FB118F" w:rsidR="008C2BAE" w:rsidRDefault="008C2BAE" w:rsidP="585CE774">
      <w:pPr>
        <w:rPr>
          <w:b/>
          <w:bCs/>
        </w:rPr>
      </w:pPr>
    </w:p>
    <w:p w14:paraId="7844F3A7" w14:textId="4AE687F8" w:rsidR="008C2BAE" w:rsidRPr="00470C95" w:rsidRDefault="008C2BAE" w:rsidP="585CE774">
      <w:pPr>
        <w:rPr>
          <w:b/>
          <w:bCs/>
          <w:sz w:val="36"/>
          <w:szCs w:val="36"/>
        </w:rPr>
      </w:pPr>
      <w:r w:rsidRPr="585CE774">
        <w:rPr>
          <w:b/>
          <w:bCs/>
          <w:sz w:val="36"/>
          <w:szCs w:val="36"/>
        </w:rPr>
        <w:t xml:space="preserve">PART </w:t>
      </w:r>
      <w:r w:rsidR="00B93C38" w:rsidRPr="585CE774">
        <w:rPr>
          <w:b/>
          <w:bCs/>
          <w:sz w:val="36"/>
          <w:szCs w:val="36"/>
        </w:rPr>
        <w:t>3</w:t>
      </w:r>
      <w:r>
        <w:tab/>
      </w:r>
    </w:p>
    <w:p w14:paraId="08443333" w14:textId="77777777" w:rsidR="008C2BAE" w:rsidRPr="00470C95" w:rsidRDefault="008C2BAE" w:rsidP="585CE774">
      <w:pPr>
        <w:rPr>
          <w:b/>
          <w:bCs/>
          <w:sz w:val="36"/>
          <w:szCs w:val="36"/>
        </w:rPr>
      </w:pPr>
    </w:p>
    <w:p w14:paraId="3B6CE3CD" w14:textId="0ECA8584" w:rsidR="008C2BAE" w:rsidRPr="00D3767D" w:rsidRDefault="008C2BAE" w:rsidP="008C2BAE">
      <w:pPr>
        <w:rPr>
          <w:b/>
          <w:bCs/>
          <w:sz w:val="36"/>
          <w:szCs w:val="36"/>
        </w:rPr>
      </w:pPr>
      <w:r w:rsidRPr="585CE774">
        <w:rPr>
          <w:b/>
          <w:bCs/>
          <w:sz w:val="36"/>
          <w:szCs w:val="36"/>
        </w:rPr>
        <w:t>SAFEGUARDING</w:t>
      </w:r>
    </w:p>
    <w:p w14:paraId="6A973B65" w14:textId="77777777" w:rsidR="0096515F" w:rsidRDefault="0096515F" w:rsidP="00124D59">
      <w:pPr>
        <w:rPr>
          <w:b/>
          <w:szCs w:val="24"/>
        </w:rPr>
      </w:pPr>
    </w:p>
    <w:p w14:paraId="142F83C5" w14:textId="1A459368" w:rsidR="0047080B" w:rsidRPr="00966766" w:rsidRDefault="00933F77" w:rsidP="00124D59">
      <w:pPr>
        <w:rPr>
          <w:b/>
          <w:sz w:val="36"/>
          <w:szCs w:val="36"/>
        </w:rPr>
      </w:pPr>
      <w:bookmarkStart w:id="41" w:name="SalarySafeg"/>
      <w:r>
        <w:rPr>
          <w:b/>
          <w:sz w:val="36"/>
          <w:szCs w:val="36"/>
        </w:rPr>
        <w:t>2</w:t>
      </w:r>
      <w:r w:rsidR="003D0661">
        <w:rPr>
          <w:b/>
          <w:sz w:val="36"/>
          <w:szCs w:val="36"/>
        </w:rPr>
        <w:t>4</w:t>
      </w:r>
      <w:r w:rsidR="0047080B" w:rsidRPr="00966766">
        <w:rPr>
          <w:b/>
          <w:sz w:val="36"/>
          <w:szCs w:val="36"/>
        </w:rPr>
        <w:tab/>
        <w:t>Salary Safeguarding</w:t>
      </w:r>
    </w:p>
    <w:bookmarkEnd w:id="41"/>
    <w:p w14:paraId="7DDECDA4" w14:textId="77777777" w:rsidR="0047080B" w:rsidRPr="0047080B" w:rsidRDefault="0047080B" w:rsidP="00124D59">
      <w:pPr>
        <w:rPr>
          <w:szCs w:val="24"/>
        </w:rPr>
      </w:pPr>
    </w:p>
    <w:p w14:paraId="67840BCE" w14:textId="4CA3E4CA" w:rsidR="0047080B" w:rsidRPr="0047080B" w:rsidRDefault="0096515F" w:rsidP="0096515F">
      <w:pPr>
        <w:ind w:left="720" w:hanging="720"/>
        <w:rPr>
          <w:szCs w:val="24"/>
        </w:rPr>
      </w:pPr>
      <w:r>
        <w:rPr>
          <w:szCs w:val="24"/>
        </w:rPr>
        <w:t>2</w:t>
      </w:r>
      <w:r w:rsidR="003D0661">
        <w:rPr>
          <w:szCs w:val="24"/>
        </w:rPr>
        <w:t>4</w:t>
      </w:r>
      <w:r>
        <w:rPr>
          <w:szCs w:val="24"/>
        </w:rPr>
        <w:t>.1</w:t>
      </w:r>
      <w:r>
        <w:rPr>
          <w:szCs w:val="24"/>
        </w:rPr>
        <w:tab/>
      </w:r>
      <w:r w:rsidR="0047080B" w:rsidRPr="0047080B">
        <w:rPr>
          <w:szCs w:val="24"/>
        </w:rPr>
        <w:t>Salary safeguarding will be paid to eligible teachers in line with the provisions of the STPCD.</w:t>
      </w:r>
    </w:p>
    <w:p w14:paraId="4FC5C829" w14:textId="77777777" w:rsidR="0047080B" w:rsidRPr="0047080B" w:rsidRDefault="0047080B" w:rsidP="00124D59">
      <w:pPr>
        <w:rPr>
          <w:szCs w:val="24"/>
        </w:rPr>
      </w:pPr>
    </w:p>
    <w:p w14:paraId="719C9D11" w14:textId="24703FA3" w:rsidR="0047080B" w:rsidRPr="0047080B" w:rsidRDefault="0096515F" w:rsidP="0096515F">
      <w:pPr>
        <w:ind w:left="720" w:hanging="720"/>
        <w:rPr>
          <w:szCs w:val="24"/>
        </w:rPr>
      </w:pPr>
      <w:r>
        <w:rPr>
          <w:szCs w:val="24"/>
        </w:rPr>
        <w:t>2</w:t>
      </w:r>
      <w:r w:rsidR="003D0661">
        <w:rPr>
          <w:szCs w:val="24"/>
        </w:rPr>
        <w:t>4</w:t>
      </w:r>
      <w:r>
        <w:rPr>
          <w:szCs w:val="24"/>
        </w:rPr>
        <w:t>.2</w:t>
      </w:r>
      <w:r>
        <w:rPr>
          <w:szCs w:val="24"/>
        </w:rPr>
        <w:tab/>
      </w:r>
      <w:r w:rsidR="0047080B" w:rsidRPr="0047080B">
        <w:rPr>
          <w:szCs w:val="24"/>
        </w:rPr>
        <w:t>Where safeguarding applies the required notification will be provided no later than one month after the date of the determination.</w:t>
      </w:r>
    </w:p>
    <w:p w14:paraId="20427CA7" w14:textId="77777777" w:rsidR="00966766" w:rsidRDefault="00966766" w:rsidP="00124D59">
      <w:pPr>
        <w:rPr>
          <w:szCs w:val="24"/>
        </w:rPr>
      </w:pPr>
    </w:p>
    <w:p w14:paraId="31B4E6AA" w14:textId="6A4DE8A3" w:rsidR="0047080B" w:rsidRDefault="0096515F" w:rsidP="585CE774">
      <w:pPr>
        <w:ind w:left="720" w:hanging="720"/>
      </w:pPr>
      <w:r>
        <w:t>2</w:t>
      </w:r>
      <w:r w:rsidR="003D0661">
        <w:t>4</w:t>
      </w:r>
      <w:r>
        <w:t>.3</w:t>
      </w:r>
      <w:r>
        <w:tab/>
      </w:r>
      <w:r w:rsidR="0047080B">
        <w:t>If the safeguarded sum is £500 or more the teacher must undertake additional duties that the Governing Board consider are appropriate and commensurate with the safeguarded sum.  The Governing Board will consider the withdrawal of the safeguarded sum if the teacher unreasonabl</w:t>
      </w:r>
      <w:r w:rsidR="00086E88">
        <w:t>y</w:t>
      </w:r>
      <w:r w:rsidR="0047080B">
        <w:t xml:space="preserve"> refuses to undertake these duties and will give one month’s notice to the teacher</w:t>
      </w:r>
      <w:r w:rsidR="004B51DD">
        <w:t xml:space="preserve"> before the payment is stopped</w:t>
      </w:r>
      <w:r w:rsidR="0047080B">
        <w:t>.</w:t>
      </w:r>
    </w:p>
    <w:p w14:paraId="22BF5A41" w14:textId="77777777" w:rsidR="00826163" w:rsidRDefault="00826163" w:rsidP="585CE774">
      <w:pPr>
        <w:ind w:left="720" w:hanging="720"/>
      </w:pPr>
    </w:p>
    <w:p w14:paraId="7D3F3D69" w14:textId="33008A71" w:rsidR="00826163" w:rsidRPr="009D0D69" w:rsidRDefault="00826163" w:rsidP="585CE774">
      <w:pPr>
        <w:ind w:left="720" w:hanging="720"/>
      </w:pPr>
      <w:r>
        <w:t>2</w:t>
      </w:r>
      <w:r w:rsidR="003D0661">
        <w:t>4</w:t>
      </w:r>
      <w:r>
        <w:t>.4</w:t>
      </w:r>
      <w:r>
        <w:tab/>
        <w:t>TLR1s and TLR2s awarded to teachers employed under a fixed-term contract or whilst they occupy another post in the absence of a post-holder will not be safeguarded after the fixed-term contract expires or the post ceases to be occupied.</w:t>
      </w:r>
    </w:p>
    <w:p w14:paraId="0401D2FD" w14:textId="77777777" w:rsidR="0096515F" w:rsidRDefault="0096515F" w:rsidP="585CE774"/>
    <w:p w14:paraId="7BE6F41C" w14:textId="25B5B7E4" w:rsidR="00B93C38" w:rsidRDefault="00B93C38" w:rsidP="585CE774">
      <w:r>
        <w:br w:type="page"/>
      </w:r>
    </w:p>
    <w:p w14:paraId="413344F5" w14:textId="77777777" w:rsidR="00B93C38" w:rsidRDefault="00B93C38" w:rsidP="585CE774">
      <w:pPr>
        <w:ind w:left="720" w:hanging="720"/>
        <w:rPr>
          <w:b/>
          <w:bCs/>
          <w:color w:val="FF0000"/>
        </w:rPr>
      </w:pPr>
    </w:p>
    <w:p w14:paraId="66E954CD" w14:textId="2B4CCC19" w:rsidR="00B93C38" w:rsidRPr="00470C95" w:rsidRDefault="00B93C38" w:rsidP="585CE774">
      <w:pPr>
        <w:rPr>
          <w:b/>
          <w:bCs/>
          <w:sz w:val="36"/>
          <w:szCs w:val="36"/>
        </w:rPr>
      </w:pPr>
      <w:r w:rsidRPr="585CE774">
        <w:rPr>
          <w:b/>
          <w:bCs/>
          <w:sz w:val="36"/>
          <w:szCs w:val="36"/>
        </w:rPr>
        <w:t>PART 4</w:t>
      </w:r>
      <w:r>
        <w:tab/>
      </w:r>
    </w:p>
    <w:p w14:paraId="20672899" w14:textId="77777777" w:rsidR="00B93C38" w:rsidRPr="00470C95" w:rsidRDefault="00B93C38" w:rsidP="585CE774">
      <w:pPr>
        <w:rPr>
          <w:b/>
          <w:bCs/>
          <w:sz w:val="36"/>
          <w:szCs w:val="36"/>
        </w:rPr>
      </w:pPr>
    </w:p>
    <w:p w14:paraId="308D2D2E" w14:textId="77777777" w:rsidR="00B93C38" w:rsidRPr="00D3767D" w:rsidRDefault="00B93C38" w:rsidP="00B93C38">
      <w:pPr>
        <w:rPr>
          <w:b/>
          <w:bCs/>
          <w:sz w:val="36"/>
          <w:szCs w:val="36"/>
        </w:rPr>
      </w:pPr>
      <w:r w:rsidRPr="585CE774">
        <w:rPr>
          <w:b/>
          <w:bCs/>
          <w:sz w:val="36"/>
          <w:szCs w:val="36"/>
        </w:rPr>
        <w:t>SUPPLEMENTARY</w:t>
      </w:r>
    </w:p>
    <w:p w14:paraId="330B0F02" w14:textId="77777777" w:rsidR="00B93C38" w:rsidRDefault="00B93C38" w:rsidP="00B93C38">
      <w:pPr>
        <w:ind w:left="720" w:hanging="720"/>
        <w:rPr>
          <w:b/>
          <w:color w:val="FF0000"/>
          <w:szCs w:val="24"/>
        </w:rPr>
      </w:pPr>
    </w:p>
    <w:p w14:paraId="51C4FC0B" w14:textId="5EF2392E" w:rsidR="00B93C38" w:rsidRPr="00966766" w:rsidRDefault="00525244" w:rsidP="00B93C38">
      <w:pPr>
        <w:rPr>
          <w:b/>
          <w:sz w:val="36"/>
          <w:szCs w:val="36"/>
        </w:rPr>
      </w:pPr>
      <w:bookmarkStart w:id="42" w:name="PartTimeTeachers"/>
      <w:r>
        <w:rPr>
          <w:b/>
          <w:sz w:val="36"/>
          <w:szCs w:val="36"/>
        </w:rPr>
        <w:t>2</w:t>
      </w:r>
      <w:r w:rsidR="003D0661">
        <w:rPr>
          <w:b/>
          <w:sz w:val="36"/>
          <w:szCs w:val="36"/>
        </w:rPr>
        <w:t>5</w:t>
      </w:r>
      <w:r w:rsidR="00B93C38" w:rsidRPr="00966766">
        <w:rPr>
          <w:b/>
          <w:sz w:val="36"/>
          <w:szCs w:val="36"/>
        </w:rPr>
        <w:tab/>
        <w:t>Part Time Teachers</w:t>
      </w:r>
    </w:p>
    <w:bookmarkEnd w:id="42"/>
    <w:p w14:paraId="0D06223E" w14:textId="77777777" w:rsidR="00B93C38" w:rsidRPr="0047080B" w:rsidRDefault="00B93C38" w:rsidP="00B93C38">
      <w:pPr>
        <w:rPr>
          <w:szCs w:val="24"/>
        </w:rPr>
      </w:pPr>
    </w:p>
    <w:p w14:paraId="3F5C5BBF" w14:textId="58B17F56" w:rsidR="00B93C38" w:rsidRDefault="003D0661" w:rsidP="585CE774">
      <w:pPr>
        <w:ind w:left="720" w:hanging="720"/>
      </w:pPr>
      <w:r>
        <w:t>25</w:t>
      </w:r>
      <w:r w:rsidR="00B93C38">
        <w:t>.1</w:t>
      </w:r>
      <w:r w:rsidR="00933460">
        <w:tab/>
      </w:r>
      <w:r w:rsidR="00B93C38">
        <w:t>Teachers employed on an on-going basis at the school but who work less than a full working week are deemed to be part time.  A part time teacher will be paid according to the proportion of the school’s timetabled teaching week (STTW) that they work, as set out in the STPCD.</w:t>
      </w:r>
    </w:p>
    <w:p w14:paraId="55388334" w14:textId="77777777" w:rsidR="00B93C38" w:rsidRDefault="00B93C38" w:rsidP="585CE774">
      <w:pPr>
        <w:ind w:left="720" w:hanging="720"/>
      </w:pPr>
    </w:p>
    <w:p w14:paraId="740E5367" w14:textId="56E72AB9" w:rsidR="00B93C38" w:rsidRPr="009D0D69" w:rsidRDefault="08F3382A" w:rsidP="585CE774">
      <w:pPr>
        <w:ind w:left="720" w:hanging="720"/>
      </w:pPr>
      <w:r>
        <w:t>25</w:t>
      </w:r>
      <w:r w:rsidR="3AE2E94F">
        <w:t>.2</w:t>
      </w:r>
      <w:r>
        <w:tab/>
      </w:r>
      <w:r w:rsidR="3AE2E94F">
        <w:t>Part-time teachers must be paid a percentage of the appropriate full-time equivalent salary as set out in the STPCD. The same percentage must be applied to any allowances awarded to a part-time teacher</w:t>
      </w:r>
      <w:r w:rsidR="7E755E6C">
        <w:t xml:space="preserve"> </w:t>
      </w:r>
      <w:proofErr w:type="gramStart"/>
      <w:r w:rsidR="7E755E6C">
        <w:t>with the exception of</w:t>
      </w:r>
      <w:proofErr w:type="gramEnd"/>
      <w:r w:rsidR="7E755E6C">
        <w:t xml:space="preserve"> TLR payments which </w:t>
      </w:r>
      <w:r w:rsidR="7E0D672E">
        <w:t>do not have to be</w:t>
      </w:r>
      <w:r w:rsidR="7E755E6C">
        <w:t xml:space="preserve"> subject to the pro rata principle</w:t>
      </w:r>
      <w:r w:rsidR="3AE2E94F">
        <w:t>.</w:t>
      </w:r>
    </w:p>
    <w:p w14:paraId="64A29DBD" w14:textId="77777777" w:rsidR="00B93C38" w:rsidRPr="009D0D69" w:rsidRDefault="00B93C38" w:rsidP="585CE774">
      <w:pPr>
        <w:ind w:left="720" w:hanging="720"/>
      </w:pPr>
    </w:p>
    <w:p w14:paraId="4D8A374C" w14:textId="2CEFD3F6" w:rsidR="00B93C38" w:rsidRPr="009D0D69" w:rsidRDefault="003D0661" w:rsidP="585CE774">
      <w:pPr>
        <w:ind w:left="720" w:hanging="720"/>
      </w:pPr>
      <w:r>
        <w:t>25</w:t>
      </w:r>
      <w:r w:rsidR="00B93C38">
        <w:t>.3</w:t>
      </w:r>
      <w:r w:rsidR="00933460">
        <w:tab/>
      </w:r>
      <w:r w:rsidR="00B93C38">
        <w:t>Part-time teachers cannot be required to work or attend non-pupil days, or parts of days, on days they do not normally work, but it is open to the teacher to attend non-pupil days or work on other days by mutual agreement with the headteacher and the pay calculation should be applied to any resultant additional hours worked. Part time teachers may be required to undertake work that is within their allocation of directed time beyond that specified in the school’s timetabled teaching week, allocated reasonably on any day or part of any day on which they are required to work.</w:t>
      </w:r>
    </w:p>
    <w:p w14:paraId="4A783E11" w14:textId="77777777" w:rsidR="00B93C38" w:rsidRDefault="00B93C38" w:rsidP="585CE774">
      <w:pPr>
        <w:rPr>
          <w:b/>
          <w:bCs/>
        </w:rPr>
      </w:pPr>
    </w:p>
    <w:p w14:paraId="3B53CBF8" w14:textId="780F58FA" w:rsidR="00B93C38" w:rsidRPr="00966766" w:rsidRDefault="00525244" w:rsidP="00B93C38">
      <w:pPr>
        <w:rPr>
          <w:b/>
          <w:sz w:val="36"/>
          <w:szCs w:val="36"/>
        </w:rPr>
      </w:pPr>
      <w:bookmarkStart w:id="43" w:name="ShortNotice"/>
      <w:r>
        <w:rPr>
          <w:b/>
          <w:sz w:val="36"/>
          <w:szCs w:val="36"/>
        </w:rPr>
        <w:t>2</w:t>
      </w:r>
      <w:r w:rsidR="003D0661">
        <w:rPr>
          <w:b/>
          <w:sz w:val="36"/>
          <w:szCs w:val="36"/>
        </w:rPr>
        <w:t>6</w:t>
      </w:r>
      <w:r w:rsidR="00B93C38" w:rsidRPr="00966766">
        <w:rPr>
          <w:b/>
          <w:sz w:val="36"/>
          <w:szCs w:val="36"/>
        </w:rPr>
        <w:tab/>
        <w:t>Short Notice/Supply Teachers</w:t>
      </w:r>
    </w:p>
    <w:bookmarkEnd w:id="43"/>
    <w:p w14:paraId="18C4AD0F" w14:textId="77777777" w:rsidR="00B93C38" w:rsidRPr="0047080B" w:rsidRDefault="00B93C38" w:rsidP="00B93C38">
      <w:pPr>
        <w:rPr>
          <w:szCs w:val="24"/>
        </w:rPr>
      </w:pPr>
    </w:p>
    <w:p w14:paraId="4C2FD943" w14:textId="0F7EA9D8" w:rsidR="00B93C38" w:rsidRDefault="003D0661" w:rsidP="585CE774">
      <w:pPr>
        <w:ind w:left="720" w:hanging="720"/>
      </w:pPr>
      <w:r>
        <w:t>26</w:t>
      </w:r>
      <w:r w:rsidR="00B93C38">
        <w:t>.1</w:t>
      </w:r>
      <w:r>
        <w:tab/>
      </w:r>
      <w:r w:rsidR="00B93C38">
        <w:t xml:space="preserve">Teachers employed on a </w:t>
      </w:r>
      <w:proofErr w:type="gramStart"/>
      <w:r w:rsidR="00B93C38">
        <w:t>day to day</w:t>
      </w:r>
      <w:proofErr w:type="gramEnd"/>
      <w:r w:rsidR="00B93C38">
        <w:t xml:space="preserve"> basis or other short notice basis will be paid </w:t>
      </w:r>
      <w:proofErr w:type="gramStart"/>
      <w:r w:rsidR="00B93C38">
        <w:t>on a daily basis</w:t>
      </w:r>
      <w:proofErr w:type="gramEnd"/>
      <w:r w:rsidR="00B93C38">
        <w:t xml:space="preserve"> calculated based on the full working year for the academic year 202</w:t>
      </w:r>
      <w:r w:rsidR="26816752">
        <w:t>5</w:t>
      </w:r>
      <w:r w:rsidR="00B93C38">
        <w:t>/2</w:t>
      </w:r>
      <w:r w:rsidR="1B2CF01E">
        <w:t>6</w:t>
      </w:r>
      <w:r w:rsidR="00B93C38">
        <w:t xml:space="preserve"> consisting of 19</w:t>
      </w:r>
      <w:r w:rsidR="2F567D16">
        <w:t>5</w:t>
      </w:r>
      <w:r w:rsidR="00B93C38">
        <w:t xml:space="preserve"> </w:t>
      </w:r>
      <w:proofErr w:type="gramStart"/>
      <w:r w:rsidR="00B93C38">
        <w:t>days;</w:t>
      </w:r>
      <w:proofErr w:type="gramEnd"/>
      <w:r w:rsidR="00B93C38">
        <w:t xml:space="preserve"> periods of employment for less than a day being calculated pro-rata.</w:t>
      </w:r>
    </w:p>
    <w:p w14:paraId="62AEBDBF" w14:textId="77777777" w:rsidR="00B93C38" w:rsidRDefault="00B93C38" w:rsidP="585CE774">
      <w:pPr>
        <w:ind w:left="720" w:hanging="720"/>
      </w:pPr>
    </w:p>
    <w:p w14:paraId="64B2437E" w14:textId="53DA84D0" w:rsidR="00B93C38" w:rsidRPr="009D0D69" w:rsidRDefault="00525244" w:rsidP="585CE774">
      <w:pPr>
        <w:rPr>
          <w:b/>
          <w:bCs/>
          <w:sz w:val="36"/>
          <w:szCs w:val="36"/>
        </w:rPr>
      </w:pPr>
      <w:r>
        <w:rPr>
          <w:b/>
          <w:bCs/>
          <w:sz w:val="36"/>
          <w:szCs w:val="36"/>
        </w:rPr>
        <w:t>2</w:t>
      </w:r>
      <w:r w:rsidR="003D0661">
        <w:rPr>
          <w:b/>
          <w:bCs/>
          <w:sz w:val="36"/>
          <w:szCs w:val="36"/>
        </w:rPr>
        <w:t>7</w:t>
      </w:r>
      <w:r w:rsidR="00B93C38">
        <w:tab/>
      </w:r>
      <w:bookmarkStart w:id="44" w:name="Pen"/>
      <w:r w:rsidR="00B93C38" w:rsidRPr="585CE774">
        <w:rPr>
          <w:b/>
          <w:bCs/>
          <w:sz w:val="36"/>
          <w:szCs w:val="36"/>
        </w:rPr>
        <w:t>Pensions</w:t>
      </w:r>
      <w:bookmarkEnd w:id="44"/>
    </w:p>
    <w:p w14:paraId="25D42353" w14:textId="77777777" w:rsidR="00B93C38" w:rsidRPr="009D0D69" w:rsidRDefault="00B93C38" w:rsidP="585CE774"/>
    <w:p w14:paraId="475C764D" w14:textId="53BF8D58" w:rsidR="007F00E9" w:rsidRPr="007F00E9" w:rsidRDefault="003D0661" w:rsidP="49CFA1B9">
      <w:pPr>
        <w:ind w:left="720" w:hanging="720"/>
        <w:rPr>
          <w:rFonts w:eastAsia="Raleway"/>
        </w:rPr>
      </w:pPr>
      <w:r>
        <w:t>27</w:t>
      </w:r>
      <w:r w:rsidR="00B93C38">
        <w:t>.1</w:t>
      </w:r>
      <w:r w:rsidR="007F00E9">
        <w:tab/>
      </w:r>
      <w:r w:rsidR="00B93C38" w:rsidRPr="49CFA1B9">
        <w:rPr>
          <w:rFonts w:eastAsia="Raleway"/>
        </w:rPr>
        <w:t xml:space="preserve">The governing board will not increase the salary of any employee or use any other pay flexibilities </w:t>
      </w:r>
      <w:proofErr w:type="gramStart"/>
      <w:r w:rsidR="00B93C38" w:rsidRPr="49CFA1B9">
        <w:rPr>
          <w:rFonts w:eastAsia="Raleway"/>
        </w:rPr>
        <w:t>in order to</w:t>
      </w:r>
      <w:proofErr w:type="gramEnd"/>
      <w:r w:rsidR="00B93C38" w:rsidRPr="49CFA1B9">
        <w:rPr>
          <w:rFonts w:eastAsia="Raleway"/>
        </w:rPr>
        <w:t xml:space="preserve"> secure an improved pension entitlement on retirement. Such enhancements may be in breach of pension scheme legislation and may represent misuse of public funds.  </w:t>
      </w:r>
    </w:p>
    <w:p w14:paraId="2197069F" w14:textId="77777777" w:rsidR="007F00E9" w:rsidRDefault="007F00E9" w:rsidP="0047080B">
      <w:pPr>
        <w:rPr>
          <w:szCs w:val="24"/>
        </w:rPr>
      </w:pPr>
    </w:p>
    <w:p w14:paraId="72BDFEA7" w14:textId="77777777" w:rsidR="0096515F" w:rsidRDefault="0096515F" w:rsidP="0047080B">
      <w:pPr>
        <w:rPr>
          <w:szCs w:val="24"/>
        </w:rPr>
      </w:pPr>
    </w:p>
    <w:p w14:paraId="41F09B69" w14:textId="77777777" w:rsidR="00D13A0A" w:rsidRDefault="00D13A0A" w:rsidP="0047080B">
      <w:pPr>
        <w:rPr>
          <w:szCs w:val="24"/>
        </w:rPr>
      </w:pPr>
    </w:p>
    <w:p w14:paraId="1859FD6E" w14:textId="77777777" w:rsidR="00D13A0A" w:rsidRDefault="00D13A0A" w:rsidP="0047080B">
      <w:pPr>
        <w:rPr>
          <w:szCs w:val="24"/>
        </w:rPr>
      </w:pPr>
    </w:p>
    <w:p w14:paraId="1EA609E2" w14:textId="77777777" w:rsidR="00D13A0A" w:rsidRDefault="00D13A0A" w:rsidP="0047080B">
      <w:pPr>
        <w:rPr>
          <w:szCs w:val="24"/>
        </w:rPr>
      </w:pPr>
    </w:p>
    <w:p w14:paraId="42AF4541" w14:textId="77777777" w:rsidR="00D13A0A" w:rsidRDefault="00D13A0A" w:rsidP="0047080B">
      <w:pPr>
        <w:rPr>
          <w:szCs w:val="24"/>
        </w:rPr>
      </w:pPr>
    </w:p>
    <w:p w14:paraId="08B8A269" w14:textId="77777777" w:rsidR="00D13A0A" w:rsidRDefault="00D13A0A" w:rsidP="0047080B">
      <w:pPr>
        <w:rPr>
          <w:szCs w:val="24"/>
        </w:rPr>
      </w:pPr>
    </w:p>
    <w:p w14:paraId="76FD0224" w14:textId="369C0C51" w:rsidR="0096515F" w:rsidRDefault="0096515F" w:rsidP="1657245B"/>
    <w:p w14:paraId="63480DE5" w14:textId="29A464CD" w:rsidR="0047080B" w:rsidRPr="00966766" w:rsidRDefault="0047080B" w:rsidP="1657245B">
      <w:pPr>
        <w:spacing w:after="200" w:line="276" w:lineRule="auto"/>
        <w:jc w:val="right"/>
        <w:rPr>
          <w:b/>
          <w:bCs/>
        </w:rPr>
      </w:pPr>
      <w:bookmarkStart w:id="45" w:name="Append1"/>
      <w:r w:rsidRPr="1657245B">
        <w:rPr>
          <w:b/>
          <w:bCs/>
        </w:rPr>
        <w:lastRenderedPageBreak/>
        <w:t>Appendix 1</w:t>
      </w:r>
    </w:p>
    <w:bookmarkEnd w:id="45"/>
    <w:p w14:paraId="5E49FCE8" w14:textId="77777777" w:rsidR="0047080B" w:rsidRPr="005B59B3" w:rsidRDefault="0047080B" w:rsidP="5BD2FCF6">
      <w:pPr>
        <w:spacing w:after="200" w:line="276" w:lineRule="auto"/>
        <w:rPr>
          <w:b/>
          <w:bCs/>
          <w:sz w:val="36"/>
          <w:szCs w:val="36"/>
        </w:rPr>
      </w:pPr>
      <w:r w:rsidRPr="5BD2FCF6">
        <w:rPr>
          <w:b/>
          <w:bCs/>
          <w:sz w:val="36"/>
          <w:szCs w:val="36"/>
        </w:rPr>
        <w:t>Appeal Hearing Procedure</w:t>
      </w:r>
    </w:p>
    <w:p w14:paraId="6DDD45EC" w14:textId="4E6823FF" w:rsidR="005B59B3" w:rsidRPr="0096515F" w:rsidRDefault="5C67E028" w:rsidP="5BD2FCF6">
      <w:pPr>
        <w:rPr>
          <w:rFonts w:eastAsia="Arial"/>
        </w:rPr>
      </w:pPr>
      <w:r w:rsidRPr="5BD2FCF6">
        <w:rPr>
          <w:rFonts w:eastAsia="Arial"/>
        </w:rPr>
        <w:t>All relevant documentation from the original process should be made available to the appeals panel. This may include the initial outcome letter, the evidence reviewed, the investigation report, the stated grounds for appeal, and any supporting documentation.</w:t>
      </w:r>
      <w:r w:rsidR="77E92985" w:rsidRPr="5BD2FCF6">
        <w:rPr>
          <w:rFonts w:eastAsia="Arial"/>
        </w:rPr>
        <w:t xml:space="preserve"> </w:t>
      </w:r>
      <w:r w:rsidR="6E97D878" w:rsidRPr="5BD2FCF6">
        <w:rPr>
          <w:rFonts w:eastAsia="Arial"/>
        </w:rPr>
        <w:t>The panel should also give consideration as to whether they invite the individual who made the pay recommendation (usually Headteacher) to answer any points of clarity.</w:t>
      </w:r>
    </w:p>
    <w:p w14:paraId="77E1DB98" w14:textId="0DDC0929" w:rsidR="005B59B3" w:rsidRPr="0096515F" w:rsidRDefault="7B5C1D45" w:rsidP="5BD2FCF6">
      <w:pPr>
        <w:rPr>
          <w:rFonts w:eastAsia="Arial"/>
        </w:rPr>
      </w:pPr>
      <w:r w:rsidRPr="5BD2FCF6">
        <w:rPr>
          <w:rFonts w:eastAsia="Arial"/>
        </w:rPr>
        <w:t xml:space="preserve"> </w:t>
      </w:r>
    </w:p>
    <w:p w14:paraId="45EBA7C2" w14:textId="394766FF" w:rsidR="005B59B3" w:rsidRPr="0096515F" w:rsidRDefault="7B5C1D45" w:rsidP="5BD2FCF6">
      <w:pPr>
        <w:rPr>
          <w:rFonts w:eastAsia="Arial"/>
        </w:rPr>
      </w:pPr>
      <w:r w:rsidRPr="5BD2FCF6">
        <w:rPr>
          <w:rFonts w:eastAsia="Arial"/>
        </w:rPr>
        <w:t>Usually, the procedure to be followed at the appeal hearing will be as follows:</w:t>
      </w:r>
    </w:p>
    <w:p w14:paraId="140F27D2" w14:textId="371AAE2A" w:rsidR="005B59B3" w:rsidRPr="0096515F" w:rsidRDefault="7B5C1D45" w:rsidP="5BD2FCF6">
      <w:pPr>
        <w:ind w:left="1418" w:hanging="284"/>
        <w:rPr>
          <w:rFonts w:eastAsia="Arial"/>
        </w:rPr>
      </w:pPr>
      <w:r w:rsidRPr="5BD2FCF6">
        <w:rPr>
          <w:rFonts w:eastAsia="Arial"/>
        </w:rPr>
        <w:t xml:space="preserve"> </w:t>
      </w:r>
    </w:p>
    <w:p w14:paraId="7EFB454D" w14:textId="3925B7F7" w:rsidR="005B59B3" w:rsidRPr="0096515F" w:rsidRDefault="7B5C1D45" w:rsidP="00D13A0A">
      <w:pPr>
        <w:pStyle w:val="ListParagraph"/>
        <w:numPr>
          <w:ilvl w:val="0"/>
          <w:numId w:val="20"/>
        </w:numPr>
        <w:ind w:left="1418" w:hanging="425"/>
        <w:rPr>
          <w:rFonts w:ascii="Arial" w:eastAsia="Arial" w:hAnsi="Arial" w:cs="Arial"/>
          <w:lang w:val="en-GB"/>
        </w:rPr>
      </w:pPr>
      <w:r w:rsidRPr="5BD2FCF6">
        <w:rPr>
          <w:rFonts w:ascii="Arial" w:eastAsia="Arial" w:hAnsi="Arial" w:cs="Arial"/>
          <w:lang w:val="en-GB"/>
        </w:rPr>
        <w:t>The procedure to be followed will be explained to all present.</w:t>
      </w:r>
    </w:p>
    <w:p w14:paraId="0C6A882B" w14:textId="625E7240" w:rsidR="005B59B3" w:rsidRPr="0096515F" w:rsidRDefault="7B5C1D45" w:rsidP="00D13A0A">
      <w:pPr>
        <w:pStyle w:val="ListParagraph"/>
        <w:numPr>
          <w:ilvl w:val="0"/>
          <w:numId w:val="20"/>
        </w:numPr>
        <w:ind w:left="1418" w:hanging="425"/>
        <w:rPr>
          <w:rFonts w:ascii="Arial" w:eastAsia="Arial" w:hAnsi="Arial" w:cs="Arial"/>
          <w:lang w:val="en-GB"/>
        </w:rPr>
      </w:pPr>
      <w:r w:rsidRPr="5BD2FCF6">
        <w:rPr>
          <w:rFonts w:ascii="Arial" w:eastAsia="Arial" w:hAnsi="Arial" w:cs="Arial"/>
          <w:lang w:val="en-GB"/>
        </w:rPr>
        <w:t>The appellant and/or their representative will present their case to the hearing, indicating the basis of their appeal and the ways in which they believe the original decision was flawed.</w:t>
      </w:r>
    </w:p>
    <w:p w14:paraId="276FA086" w14:textId="785E79C0" w:rsidR="005B59B3" w:rsidRPr="0096515F" w:rsidRDefault="7B5C1D45" w:rsidP="00D13A0A">
      <w:pPr>
        <w:pStyle w:val="ListParagraph"/>
        <w:numPr>
          <w:ilvl w:val="0"/>
          <w:numId w:val="20"/>
        </w:numPr>
        <w:ind w:left="1418" w:hanging="425"/>
        <w:rPr>
          <w:rFonts w:ascii="Arial" w:eastAsia="Arial" w:hAnsi="Arial" w:cs="Arial"/>
          <w:lang w:val="en-GB"/>
        </w:rPr>
      </w:pPr>
      <w:r w:rsidRPr="5BD2FCF6">
        <w:rPr>
          <w:rFonts w:ascii="Arial" w:eastAsia="Arial" w:hAnsi="Arial" w:cs="Arial"/>
          <w:lang w:val="en-GB"/>
        </w:rPr>
        <w:t>The Committee are given the opportunity to ask the appellant questions for clarification.</w:t>
      </w:r>
    </w:p>
    <w:p w14:paraId="362237CC" w14:textId="5047511E" w:rsidR="005B59B3" w:rsidRPr="0096515F" w:rsidRDefault="7B5C1D45" w:rsidP="00D13A0A">
      <w:pPr>
        <w:pStyle w:val="ListParagraph"/>
        <w:numPr>
          <w:ilvl w:val="0"/>
          <w:numId w:val="20"/>
        </w:numPr>
        <w:ind w:left="1418" w:hanging="425"/>
        <w:rPr>
          <w:rFonts w:ascii="Arial" w:eastAsia="Arial" w:hAnsi="Arial" w:cs="Arial"/>
          <w:lang w:val="en-GB"/>
        </w:rPr>
      </w:pPr>
      <w:r w:rsidRPr="5BD2FCF6">
        <w:rPr>
          <w:rFonts w:ascii="Arial" w:eastAsia="Arial" w:hAnsi="Arial" w:cs="Arial"/>
          <w:lang w:val="en-GB"/>
        </w:rPr>
        <w:t>The individual (Headteacher or Chair of Committee) who made the original decision may be requested to explain the conclusions reached at the hearing and/or the evidence on which those conclusions were based.</w:t>
      </w:r>
      <w:r w:rsidR="516338E5" w:rsidRPr="5BD2FCF6">
        <w:rPr>
          <w:rFonts w:ascii="Arial" w:eastAsia="Arial" w:hAnsi="Arial" w:cs="Arial"/>
          <w:color w:val="auto"/>
          <w:lang w:val="en-GB"/>
        </w:rPr>
        <w:t xml:space="preserve"> The panel may also ask questions of clarification to the individual who made the initial recommendation, if necessary.</w:t>
      </w:r>
    </w:p>
    <w:p w14:paraId="4CB9FFE7" w14:textId="70C1E9D0" w:rsidR="005B59B3" w:rsidRPr="0096515F" w:rsidRDefault="7B5C1D45" w:rsidP="00D13A0A">
      <w:pPr>
        <w:pStyle w:val="ListParagraph"/>
        <w:numPr>
          <w:ilvl w:val="0"/>
          <w:numId w:val="20"/>
        </w:numPr>
        <w:ind w:left="1418" w:hanging="425"/>
        <w:rPr>
          <w:rFonts w:ascii="Arial" w:eastAsia="Arial" w:hAnsi="Arial" w:cs="Arial"/>
          <w:lang w:val="en-GB"/>
        </w:rPr>
      </w:pPr>
      <w:r w:rsidRPr="5BD2FCF6">
        <w:rPr>
          <w:rFonts w:ascii="Arial" w:eastAsia="Arial" w:hAnsi="Arial" w:cs="Arial"/>
          <w:lang w:val="en-GB"/>
        </w:rPr>
        <w:t>The appellant and/or their representative are given the opportunity to ask the individual (Headteacher or Chair of Committee) who made the original decision questions for clarification.</w:t>
      </w:r>
    </w:p>
    <w:p w14:paraId="0F138A66" w14:textId="1030E7EE" w:rsidR="005B59B3" w:rsidRPr="0096515F" w:rsidRDefault="7B5C1D45" w:rsidP="00D13A0A">
      <w:pPr>
        <w:pStyle w:val="ListParagraph"/>
        <w:numPr>
          <w:ilvl w:val="0"/>
          <w:numId w:val="20"/>
        </w:numPr>
        <w:ind w:left="1418" w:hanging="425"/>
        <w:rPr>
          <w:rFonts w:ascii="Arial" w:eastAsia="Arial" w:hAnsi="Arial" w:cs="Arial"/>
          <w:lang w:val="en-GB"/>
        </w:rPr>
      </w:pPr>
      <w:r w:rsidRPr="5BD2FCF6">
        <w:rPr>
          <w:rFonts w:ascii="Arial" w:eastAsia="Arial" w:hAnsi="Arial" w:cs="Arial"/>
          <w:lang w:val="en-GB"/>
        </w:rPr>
        <w:t>The Committee are given the opportunity to ask the individual (Headteacher or Chair of Committee) who made the original decision questions for clarification.</w:t>
      </w:r>
    </w:p>
    <w:p w14:paraId="3DC21B45" w14:textId="08B5299B" w:rsidR="005B59B3" w:rsidRPr="0096515F" w:rsidRDefault="7B5C1D45" w:rsidP="00D13A0A">
      <w:pPr>
        <w:pStyle w:val="ListParagraph"/>
        <w:numPr>
          <w:ilvl w:val="0"/>
          <w:numId w:val="20"/>
        </w:numPr>
        <w:ind w:left="1418" w:hanging="425"/>
        <w:rPr>
          <w:rFonts w:ascii="Arial" w:eastAsia="Arial" w:hAnsi="Arial" w:cs="Arial"/>
          <w:lang w:val="en-GB"/>
        </w:rPr>
      </w:pPr>
      <w:r w:rsidRPr="5BD2FCF6">
        <w:rPr>
          <w:rFonts w:ascii="Arial" w:eastAsia="Arial" w:hAnsi="Arial" w:cs="Arial"/>
          <w:lang w:val="en-GB"/>
        </w:rPr>
        <w:t>Both parties are given the opportunity for summing up, with the individual (Headteacher or Chair of Committee) who made the original decision providing a summary of the facts.</w:t>
      </w:r>
    </w:p>
    <w:p w14:paraId="5A06BE54" w14:textId="5D808AE2" w:rsidR="005B59B3" w:rsidRPr="0096515F" w:rsidRDefault="7B5C1D45" w:rsidP="00D13A0A">
      <w:pPr>
        <w:pStyle w:val="ListParagraph"/>
        <w:numPr>
          <w:ilvl w:val="0"/>
          <w:numId w:val="20"/>
        </w:numPr>
        <w:ind w:left="1418" w:hanging="425"/>
        <w:rPr>
          <w:rFonts w:ascii="Arial" w:eastAsia="Arial" w:hAnsi="Arial" w:cs="Arial"/>
          <w:lang w:val="en-GB"/>
        </w:rPr>
      </w:pPr>
      <w:r w:rsidRPr="5BD2FCF6">
        <w:rPr>
          <w:rFonts w:ascii="Arial" w:eastAsia="Arial" w:hAnsi="Arial" w:cs="Arial"/>
          <w:lang w:val="en-GB"/>
        </w:rPr>
        <w:t>The appellant and/or representative and individual (Headteacher or Chair of Committee) who made the original decision are then requested to leave the meeting whilst the Committee make their decision, with HR support and advice.</w:t>
      </w:r>
    </w:p>
    <w:p w14:paraId="2DB2EFB1" w14:textId="6ABF5C5D" w:rsidR="005B59B3" w:rsidRPr="0096515F" w:rsidRDefault="7B5C1D45" w:rsidP="00D13A0A">
      <w:pPr>
        <w:pStyle w:val="ListParagraph"/>
        <w:numPr>
          <w:ilvl w:val="0"/>
          <w:numId w:val="20"/>
        </w:numPr>
        <w:ind w:left="1418" w:hanging="425"/>
        <w:rPr>
          <w:rFonts w:ascii="Arial" w:eastAsia="Arial" w:hAnsi="Arial" w:cs="Arial"/>
          <w:lang w:val="en-GB"/>
        </w:rPr>
      </w:pPr>
      <w:r w:rsidRPr="5BD2FCF6">
        <w:rPr>
          <w:rFonts w:ascii="Arial" w:eastAsia="Arial" w:hAnsi="Arial" w:cs="Arial"/>
          <w:lang w:val="en-GB"/>
        </w:rPr>
        <w:t xml:space="preserve">The appeals panel (with any adviser) to deliberate in private, only recalling the parties where there are </w:t>
      </w:r>
      <w:proofErr w:type="gramStart"/>
      <w:r w:rsidRPr="5BD2FCF6">
        <w:rPr>
          <w:rFonts w:ascii="Arial" w:eastAsia="Arial" w:hAnsi="Arial" w:cs="Arial"/>
          <w:lang w:val="en-GB"/>
        </w:rPr>
        <w:t>particular points</w:t>
      </w:r>
      <w:proofErr w:type="gramEnd"/>
      <w:r w:rsidRPr="5BD2FCF6">
        <w:rPr>
          <w:rFonts w:ascii="Arial" w:eastAsia="Arial" w:hAnsi="Arial" w:cs="Arial"/>
          <w:lang w:val="en-GB"/>
        </w:rPr>
        <w:t xml:space="preserve"> of uncertainty on the evidence given. If recall is necessary, both parties are to return, notwithstanding that only one is concerned with the point giving rise to doubt.</w:t>
      </w:r>
    </w:p>
    <w:p w14:paraId="7A357177" w14:textId="6C95E94A" w:rsidR="005B59B3" w:rsidRPr="0096515F" w:rsidRDefault="7B5C1D45" w:rsidP="00D13A0A">
      <w:pPr>
        <w:pStyle w:val="ListParagraph"/>
        <w:numPr>
          <w:ilvl w:val="0"/>
          <w:numId w:val="20"/>
        </w:numPr>
        <w:ind w:left="1418" w:hanging="425"/>
        <w:rPr>
          <w:rFonts w:ascii="Arial" w:eastAsia="Arial" w:hAnsi="Arial" w:cs="Arial"/>
          <w:lang w:val="en-GB"/>
        </w:rPr>
      </w:pPr>
      <w:r w:rsidRPr="5BD2FCF6">
        <w:rPr>
          <w:rFonts w:ascii="Arial" w:eastAsia="Arial" w:hAnsi="Arial" w:cs="Arial"/>
          <w:lang w:val="en-GB"/>
        </w:rPr>
        <w:t xml:space="preserve">The appellant and/or representative may be recalled and the decision announced by the Chair of the Committee. It may also be appropriate to have the individual (Headteacher or Chair of Committee) who made the original decision return to the meeting while the decision is announced. In some cases, the Committee may not be able to </w:t>
      </w:r>
      <w:proofErr w:type="gramStart"/>
      <w:r w:rsidRPr="5BD2FCF6">
        <w:rPr>
          <w:rFonts w:ascii="Arial" w:eastAsia="Arial" w:hAnsi="Arial" w:cs="Arial"/>
          <w:lang w:val="en-GB"/>
        </w:rPr>
        <w:t>make a decision</w:t>
      </w:r>
      <w:proofErr w:type="gramEnd"/>
      <w:r w:rsidRPr="5BD2FCF6">
        <w:rPr>
          <w:rFonts w:ascii="Arial" w:eastAsia="Arial" w:hAnsi="Arial" w:cs="Arial"/>
          <w:lang w:val="en-GB"/>
        </w:rPr>
        <w:t xml:space="preserve"> immediately after the meeting and in those cases the appellant </w:t>
      </w:r>
      <w:r w:rsidRPr="5BD2FCF6">
        <w:rPr>
          <w:rFonts w:ascii="Arial" w:eastAsia="Arial" w:hAnsi="Arial" w:cs="Arial"/>
          <w:lang w:val="en-GB"/>
        </w:rPr>
        <w:lastRenderedPageBreak/>
        <w:t>may receive their outcome in writing as soon as possible after the decision has been made.</w:t>
      </w:r>
    </w:p>
    <w:p w14:paraId="387BD2DB" w14:textId="2FD17EA5" w:rsidR="005B59B3" w:rsidRPr="0096515F" w:rsidRDefault="005B59B3" w:rsidP="00D13A0A">
      <w:pPr>
        <w:ind w:left="1418" w:hanging="425"/>
        <w:rPr>
          <w:rFonts w:eastAsia="Arial"/>
        </w:rPr>
      </w:pPr>
    </w:p>
    <w:p w14:paraId="2E6EAD89" w14:textId="77777777" w:rsidR="00966766" w:rsidRPr="0096515F" w:rsidRDefault="00966766" w:rsidP="5BD2FCF6">
      <w:pPr>
        <w:ind w:left="1985" w:hanging="284"/>
        <w:rPr>
          <w:rFonts w:eastAsia="Arial"/>
        </w:rPr>
      </w:pPr>
    </w:p>
    <w:p w14:paraId="67042447" w14:textId="77777777" w:rsidR="00677FE5" w:rsidRPr="0096515F" w:rsidRDefault="0047080B" w:rsidP="1657245B">
      <w:pPr>
        <w:ind w:left="720"/>
        <w:rPr>
          <w:rFonts w:eastAsia="Arial"/>
        </w:rPr>
      </w:pPr>
      <w:r w:rsidRPr="5BD2FCF6">
        <w:rPr>
          <w:rFonts w:eastAsia="Arial"/>
        </w:rPr>
        <w:t>This process performs the function of the grievance procedure on pay matters and decisions cannot therefore be reopened under general grievance</w:t>
      </w:r>
      <w:r w:rsidR="00677FE5" w:rsidRPr="5BD2FCF6">
        <w:rPr>
          <w:rFonts w:eastAsia="Arial"/>
        </w:rPr>
        <w:t xml:space="preserve"> </w:t>
      </w:r>
      <w:r w:rsidRPr="5BD2FCF6">
        <w:rPr>
          <w:rFonts w:eastAsia="Arial"/>
        </w:rPr>
        <w:t>procedures.</w:t>
      </w:r>
    </w:p>
    <w:p w14:paraId="24F0AAE3" w14:textId="77777777" w:rsidR="0047080B" w:rsidRDefault="00677FE5" w:rsidP="00677FE5">
      <w:pPr>
        <w:ind w:left="720" w:hanging="720"/>
        <w:rPr>
          <w:szCs w:val="24"/>
        </w:rPr>
      </w:pPr>
      <w:r>
        <w:rPr>
          <w:szCs w:val="24"/>
        </w:rPr>
        <w:br w:type="page"/>
      </w:r>
    </w:p>
    <w:p w14:paraId="3FD879F1" w14:textId="77777777" w:rsidR="0047080B" w:rsidRPr="0047080B" w:rsidRDefault="0047080B" w:rsidP="00966766">
      <w:pPr>
        <w:jc w:val="right"/>
        <w:rPr>
          <w:b/>
          <w:szCs w:val="24"/>
        </w:rPr>
      </w:pPr>
      <w:bookmarkStart w:id="46" w:name="Appen2"/>
      <w:r w:rsidRPr="0047080B">
        <w:rPr>
          <w:szCs w:val="24"/>
        </w:rPr>
        <w:lastRenderedPageBreak/>
        <w:t xml:space="preserve"> </w:t>
      </w:r>
      <w:r w:rsidRPr="0047080B">
        <w:rPr>
          <w:b/>
          <w:szCs w:val="24"/>
        </w:rPr>
        <w:t>Appendix 2</w:t>
      </w:r>
    </w:p>
    <w:bookmarkEnd w:id="46"/>
    <w:p w14:paraId="6ECAE438" w14:textId="6509EA06" w:rsidR="0047080B" w:rsidRDefault="0047080B" w:rsidP="0047080B">
      <w:pPr>
        <w:spacing w:after="200" w:line="276" w:lineRule="auto"/>
        <w:rPr>
          <w:b/>
          <w:szCs w:val="24"/>
        </w:rPr>
      </w:pPr>
      <w:r w:rsidRPr="0047080B">
        <w:rPr>
          <w:b/>
          <w:szCs w:val="24"/>
        </w:rPr>
        <w:t>Application Form</w:t>
      </w:r>
      <w:r w:rsidR="00F946A2">
        <w:rPr>
          <w:b/>
          <w:szCs w:val="24"/>
        </w:rPr>
        <w:t xml:space="preserve"> (Main Pay Range – Upper Pay Range)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045"/>
        <w:gridCol w:w="1654"/>
        <w:gridCol w:w="1983"/>
      </w:tblGrid>
      <w:tr w:rsidR="005E496D" w:rsidRPr="008A6172" w14:paraId="27C2B366" w14:textId="77777777" w:rsidTr="1011A7CF">
        <w:tc>
          <w:tcPr>
            <w:tcW w:w="9017" w:type="dxa"/>
            <w:gridSpan w:val="4"/>
            <w:tcBorders>
              <w:top w:val="single" w:sz="4" w:space="0" w:color="auto"/>
              <w:left w:val="single" w:sz="4" w:space="0" w:color="auto"/>
              <w:bottom w:val="single" w:sz="4" w:space="0" w:color="auto"/>
              <w:right w:val="single" w:sz="4" w:space="0" w:color="auto"/>
            </w:tcBorders>
            <w:shd w:val="clear" w:color="auto" w:fill="403152"/>
            <w:vAlign w:val="center"/>
          </w:tcPr>
          <w:p w14:paraId="78A23818" w14:textId="77777777" w:rsidR="005E496D" w:rsidRPr="008A6172" w:rsidRDefault="005E496D" w:rsidP="0047743A">
            <w:pPr>
              <w:tabs>
                <w:tab w:val="left" w:pos="2925"/>
              </w:tabs>
              <w:spacing w:after="200" w:line="276" w:lineRule="auto"/>
              <w:rPr>
                <w:b/>
                <w:sz w:val="16"/>
                <w:szCs w:val="16"/>
              </w:rPr>
            </w:pPr>
          </w:p>
          <w:p w14:paraId="024EE563" w14:textId="77777777" w:rsidR="005E496D" w:rsidRPr="005E496D" w:rsidRDefault="005E496D" w:rsidP="0047743A">
            <w:pPr>
              <w:tabs>
                <w:tab w:val="left" w:pos="2925"/>
              </w:tabs>
              <w:spacing w:after="200" w:line="276" w:lineRule="auto"/>
              <w:rPr>
                <w:b/>
                <w:sz w:val="22"/>
                <w:szCs w:val="22"/>
              </w:rPr>
            </w:pPr>
            <w:r w:rsidRPr="005E496D">
              <w:rPr>
                <w:b/>
                <w:sz w:val="22"/>
                <w:szCs w:val="22"/>
              </w:rPr>
              <w:t xml:space="preserve">TEACHERS </w:t>
            </w:r>
            <w:proofErr w:type="gramStart"/>
            <w:r w:rsidRPr="005E496D">
              <w:rPr>
                <w:b/>
                <w:sz w:val="22"/>
                <w:szCs w:val="22"/>
              </w:rPr>
              <w:t>DETAILS :</w:t>
            </w:r>
            <w:proofErr w:type="gramEnd"/>
            <w:r w:rsidRPr="005E496D">
              <w:rPr>
                <w:b/>
                <w:sz w:val="22"/>
                <w:szCs w:val="22"/>
              </w:rPr>
              <w:t xml:space="preserve"> </w:t>
            </w:r>
            <w:r w:rsidRPr="005E496D">
              <w:rPr>
                <w:b/>
                <w:sz w:val="22"/>
                <w:szCs w:val="22"/>
              </w:rPr>
              <w:tab/>
            </w:r>
          </w:p>
        </w:tc>
      </w:tr>
      <w:tr w:rsidR="005E496D" w:rsidRPr="008A6172" w14:paraId="03332D33" w14:textId="77777777" w:rsidTr="1011A7CF">
        <w:tc>
          <w:tcPr>
            <w:tcW w:w="2335" w:type="dxa"/>
            <w:shd w:val="clear" w:color="auto" w:fill="E5DFEC"/>
          </w:tcPr>
          <w:p w14:paraId="73691EE1" w14:textId="77777777" w:rsidR="005E496D" w:rsidRPr="008A6172" w:rsidRDefault="005E496D" w:rsidP="0047743A">
            <w:pPr>
              <w:spacing w:after="200" w:line="276" w:lineRule="auto"/>
              <w:rPr>
                <w:sz w:val="22"/>
                <w:szCs w:val="22"/>
              </w:rPr>
            </w:pPr>
            <w:r w:rsidRPr="008A6172">
              <w:rPr>
                <w:sz w:val="22"/>
                <w:szCs w:val="22"/>
              </w:rPr>
              <w:t>Name:</w:t>
            </w:r>
          </w:p>
        </w:tc>
        <w:tc>
          <w:tcPr>
            <w:tcW w:w="6682" w:type="dxa"/>
            <w:gridSpan w:val="3"/>
          </w:tcPr>
          <w:p w14:paraId="22D291E1" w14:textId="77777777" w:rsidR="005E496D" w:rsidRPr="008A6172" w:rsidRDefault="005E496D" w:rsidP="0047743A">
            <w:pPr>
              <w:spacing w:after="200" w:line="276" w:lineRule="auto"/>
              <w:rPr>
                <w:szCs w:val="24"/>
              </w:rPr>
            </w:pPr>
          </w:p>
        </w:tc>
      </w:tr>
      <w:tr w:rsidR="005E496D" w:rsidRPr="008A6172" w14:paraId="75E47C73" w14:textId="77777777" w:rsidTr="1011A7CF">
        <w:tc>
          <w:tcPr>
            <w:tcW w:w="2335" w:type="dxa"/>
            <w:shd w:val="clear" w:color="auto" w:fill="E5DFEC"/>
          </w:tcPr>
          <w:p w14:paraId="5D59A371" w14:textId="77777777" w:rsidR="005E496D" w:rsidRPr="008A6172" w:rsidRDefault="005E496D" w:rsidP="0047743A">
            <w:pPr>
              <w:spacing w:after="200" w:line="276" w:lineRule="auto"/>
              <w:rPr>
                <w:sz w:val="22"/>
                <w:szCs w:val="22"/>
              </w:rPr>
            </w:pPr>
            <w:r w:rsidRPr="008A6172">
              <w:rPr>
                <w:sz w:val="22"/>
                <w:szCs w:val="22"/>
              </w:rPr>
              <w:t>School:</w:t>
            </w:r>
          </w:p>
        </w:tc>
        <w:tc>
          <w:tcPr>
            <w:tcW w:w="6682" w:type="dxa"/>
            <w:gridSpan w:val="3"/>
          </w:tcPr>
          <w:p w14:paraId="52DFFC72" w14:textId="77777777" w:rsidR="005E496D" w:rsidRPr="008A6172" w:rsidRDefault="005E496D" w:rsidP="0047743A">
            <w:pPr>
              <w:spacing w:after="200" w:line="276" w:lineRule="auto"/>
              <w:rPr>
                <w:szCs w:val="24"/>
              </w:rPr>
            </w:pPr>
          </w:p>
        </w:tc>
      </w:tr>
      <w:tr w:rsidR="005E496D" w:rsidRPr="008A6172" w14:paraId="7B4C2EDA" w14:textId="77777777" w:rsidTr="1011A7CF">
        <w:tc>
          <w:tcPr>
            <w:tcW w:w="2335" w:type="dxa"/>
            <w:shd w:val="clear" w:color="auto" w:fill="E5DFEC"/>
          </w:tcPr>
          <w:p w14:paraId="59873C37" w14:textId="77777777" w:rsidR="005E496D" w:rsidRPr="008A6172" w:rsidRDefault="005E496D" w:rsidP="0047743A">
            <w:pPr>
              <w:spacing w:after="200" w:line="276" w:lineRule="auto"/>
              <w:rPr>
                <w:sz w:val="22"/>
                <w:szCs w:val="22"/>
              </w:rPr>
            </w:pPr>
            <w:r w:rsidRPr="008A6172">
              <w:rPr>
                <w:sz w:val="22"/>
                <w:szCs w:val="22"/>
              </w:rPr>
              <w:t>Job Title:</w:t>
            </w:r>
          </w:p>
        </w:tc>
        <w:tc>
          <w:tcPr>
            <w:tcW w:w="6682" w:type="dxa"/>
            <w:gridSpan w:val="3"/>
          </w:tcPr>
          <w:p w14:paraId="341DEE4F" w14:textId="77777777" w:rsidR="005E496D" w:rsidRPr="008A6172" w:rsidRDefault="005E496D" w:rsidP="0047743A">
            <w:pPr>
              <w:spacing w:after="200" w:line="276" w:lineRule="auto"/>
              <w:rPr>
                <w:szCs w:val="24"/>
              </w:rPr>
            </w:pPr>
          </w:p>
        </w:tc>
      </w:tr>
      <w:tr w:rsidR="005E496D" w:rsidRPr="008A6172" w14:paraId="669D72AC" w14:textId="77777777" w:rsidTr="1011A7CF">
        <w:tc>
          <w:tcPr>
            <w:tcW w:w="2335" w:type="dxa"/>
            <w:shd w:val="clear" w:color="auto" w:fill="E5DFEC"/>
          </w:tcPr>
          <w:p w14:paraId="34AE5F73" w14:textId="77777777" w:rsidR="005E496D" w:rsidRPr="008A6172" w:rsidRDefault="005E496D" w:rsidP="0047743A">
            <w:pPr>
              <w:spacing w:after="200" w:line="276" w:lineRule="auto"/>
              <w:rPr>
                <w:sz w:val="22"/>
                <w:szCs w:val="22"/>
              </w:rPr>
            </w:pPr>
            <w:r w:rsidRPr="008A6172">
              <w:rPr>
                <w:sz w:val="22"/>
                <w:szCs w:val="22"/>
              </w:rPr>
              <w:t>Current Salary point:</w:t>
            </w:r>
          </w:p>
        </w:tc>
        <w:tc>
          <w:tcPr>
            <w:tcW w:w="6682" w:type="dxa"/>
            <w:gridSpan w:val="3"/>
          </w:tcPr>
          <w:p w14:paraId="20909B2B" w14:textId="77777777" w:rsidR="005E496D" w:rsidRPr="008A6172" w:rsidRDefault="005E496D" w:rsidP="1011A7CF">
            <w:pPr>
              <w:spacing w:after="200" w:line="276" w:lineRule="auto"/>
            </w:pPr>
          </w:p>
        </w:tc>
      </w:tr>
      <w:tr w:rsidR="005E496D" w:rsidRPr="008A6172" w14:paraId="2A462A19" w14:textId="77777777" w:rsidTr="1011A7CF">
        <w:tc>
          <w:tcPr>
            <w:tcW w:w="2335" w:type="dxa"/>
            <w:shd w:val="clear" w:color="auto" w:fill="E5DFEC"/>
          </w:tcPr>
          <w:p w14:paraId="41451736" w14:textId="77777777" w:rsidR="005E496D" w:rsidRPr="008A6172" w:rsidRDefault="005E496D" w:rsidP="0047743A">
            <w:pPr>
              <w:spacing w:after="200" w:line="276" w:lineRule="auto"/>
              <w:rPr>
                <w:sz w:val="22"/>
                <w:szCs w:val="22"/>
              </w:rPr>
            </w:pPr>
            <w:r w:rsidRPr="008A6172">
              <w:rPr>
                <w:sz w:val="22"/>
                <w:szCs w:val="22"/>
              </w:rPr>
              <w:t xml:space="preserve">Purpose </w:t>
            </w:r>
            <w:r w:rsidRPr="008A6172">
              <w:rPr>
                <w:sz w:val="18"/>
                <w:szCs w:val="18"/>
              </w:rPr>
              <w:t>(please tick as appropriate)</w:t>
            </w:r>
            <w:r w:rsidRPr="008A6172">
              <w:rPr>
                <w:sz w:val="22"/>
                <w:szCs w:val="22"/>
              </w:rPr>
              <w:t>:</w:t>
            </w:r>
          </w:p>
        </w:tc>
        <w:tc>
          <w:tcPr>
            <w:tcW w:w="4699" w:type="dxa"/>
            <w:gridSpan w:val="2"/>
          </w:tcPr>
          <w:p w14:paraId="12984D95" w14:textId="59EB9F84" w:rsidR="005E496D" w:rsidRPr="008A6172" w:rsidRDefault="03315981" w:rsidP="1011A7CF">
            <w:pPr>
              <w:spacing w:after="200" w:line="276" w:lineRule="auto"/>
              <w:rPr>
                <w:sz w:val="22"/>
                <w:szCs w:val="22"/>
              </w:rPr>
            </w:pPr>
            <w:r w:rsidRPr="1011A7CF">
              <w:rPr>
                <w:sz w:val="22"/>
                <w:szCs w:val="22"/>
              </w:rPr>
              <w:t>Application to move</w:t>
            </w:r>
            <w:r w:rsidR="00F946A2" w:rsidRPr="1011A7CF">
              <w:rPr>
                <w:sz w:val="22"/>
                <w:szCs w:val="22"/>
              </w:rPr>
              <w:t xml:space="preserve"> from Main Pay Range</w:t>
            </w:r>
            <w:r w:rsidRPr="1011A7CF">
              <w:rPr>
                <w:sz w:val="22"/>
                <w:szCs w:val="22"/>
              </w:rPr>
              <w:t xml:space="preserve"> to the Upper Pay Range</w:t>
            </w:r>
          </w:p>
        </w:tc>
        <w:tc>
          <w:tcPr>
            <w:tcW w:w="1983" w:type="dxa"/>
          </w:tcPr>
          <w:p w14:paraId="77E5143C" w14:textId="77777777" w:rsidR="005E496D" w:rsidRPr="008A6172" w:rsidRDefault="005E496D" w:rsidP="1011A7CF">
            <w:pPr>
              <w:spacing w:after="200" w:line="276" w:lineRule="auto"/>
            </w:pPr>
          </w:p>
        </w:tc>
      </w:tr>
      <w:tr w:rsidR="005E496D" w:rsidRPr="008A6172" w14:paraId="77891CEF" w14:textId="77777777" w:rsidTr="1011A7CF">
        <w:trPr>
          <w:trHeight w:val="796"/>
        </w:trPr>
        <w:tc>
          <w:tcPr>
            <w:tcW w:w="9017" w:type="dxa"/>
            <w:gridSpan w:val="4"/>
            <w:shd w:val="clear" w:color="auto" w:fill="403152"/>
            <w:vAlign w:val="center"/>
          </w:tcPr>
          <w:p w14:paraId="3D71AFDA" w14:textId="77777777" w:rsidR="005E496D" w:rsidRPr="008A6172" w:rsidRDefault="005E496D" w:rsidP="0047743A">
            <w:pPr>
              <w:spacing w:after="200" w:line="276" w:lineRule="auto"/>
              <w:rPr>
                <w:b/>
                <w:sz w:val="16"/>
                <w:szCs w:val="16"/>
              </w:rPr>
            </w:pPr>
          </w:p>
          <w:p w14:paraId="4D7408F9" w14:textId="77777777" w:rsidR="005E496D" w:rsidRPr="008A6172" w:rsidRDefault="005E496D" w:rsidP="0047743A">
            <w:pPr>
              <w:spacing w:after="200" w:line="276" w:lineRule="auto"/>
              <w:rPr>
                <w:b/>
                <w:sz w:val="22"/>
                <w:szCs w:val="22"/>
              </w:rPr>
            </w:pPr>
            <w:r w:rsidRPr="008A6172">
              <w:rPr>
                <w:b/>
                <w:sz w:val="22"/>
                <w:szCs w:val="22"/>
              </w:rPr>
              <w:t xml:space="preserve">EVIDENCE </w:t>
            </w:r>
          </w:p>
        </w:tc>
      </w:tr>
      <w:tr w:rsidR="005E496D" w:rsidRPr="008A6172" w14:paraId="3B1E73E1" w14:textId="77777777" w:rsidTr="1011A7CF">
        <w:tc>
          <w:tcPr>
            <w:tcW w:w="5380" w:type="dxa"/>
            <w:gridSpan w:val="2"/>
            <w:shd w:val="clear" w:color="auto" w:fill="E5DFEC"/>
            <w:vAlign w:val="center"/>
          </w:tcPr>
          <w:p w14:paraId="6227ECEA" w14:textId="77777777" w:rsidR="005E496D" w:rsidRPr="008A6172" w:rsidRDefault="005E496D" w:rsidP="0047743A">
            <w:pPr>
              <w:spacing w:after="200" w:line="276" w:lineRule="auto"/>
              <w:rPr>
                <w:sz w:val="22"/>
                <w:szCs w:val="22"/>
              </w:rPr>
            </w:pPr>
            <w:r w:rsidRPr="008A6172">
              <w:rPr>
                <w:sz w:val="22"/>
                <w:szCs w:val="22"/>
              </w:rPr>
              <w:t>I attach a copy of my two most recent appraisals, including any recommendation on pay.</w:t>
            </w:r>
          </w:p>
        </w:tc>
        <w:tc>
          <w:tcPr>
            <w:tcW w:w="3637" w:type="dxa"/>
            <w:gridSpan w:val="2"/>
            <w:vAlign w:val="center"/>
          </w:tcPr>
          <w:p w14:paraId="30B8C305" w14:textId="77777777" w:rsidR="005E496D" w:rsidRPr="008A6172" w:rsidRDefault="005E496D" w:rsidP="0047743A">
            <w:pPr>
              <w:spacing w:after="200" w:line="276" w:lineRule="auto"/>
              <w:jc w:val="center"/>
              <w:rPr>
                <w:szCs w:val="24"/>
              </w:rPr>
            </w:pPr>
            <w:r w:rsidRPr="008A6172">
              <w:rPr>
                <w:szCs w:val="24"/>
              </w:rPr>
              <w:t>YES / NO</w:t>
            </w:r>
          </w:p>
        </w:tc>
      </w:tr>
      <w:tr w:rsidR="005E496D" w:rsidRPr="008A6172" w14:paraId="0E12279B" w14:textId="77777777" w:rsidTr="1011A7CF">
        <w:tc>
          <w:tcPr>
            <w:tcW w:w="5380" w:type="dxa"/>
            <w:gridSpan w:val="2"/>
            <w:shd w:val="clear" w:color="auto" w:fill="E5DFEC"/>
            <w:vAlign w:val="center"/>
          </w:tcPr>
          <w:p w14:paraId="1A504925" w14:textId="77777777" w:rsidR="005E496D" w:rsidRPr="008A6172" w:rsidRDefault="005E496D" w:rsidP="0047743A">
            <w:pPr>
              <w:spacing w:after="200" w:line="276" w:lineRule="auto"/>
              <w:rPr>
                <w:sz w:val="22"/>
                <w:szCs w:val="22"/>
              </w:rPr>
            </w:pPr>
            <w:r w:rsidRPr="008A6172">
              <w:rPr>
                <w:sz w:val="22"/>
                <w:szCs w:val="22"/>
              </w:rPr>
              <w:t>The schools covered by planning/review statement(s) (if different to current employer):</w:t>
            </w:r>
          </w:p>
        </w:tc>
        <w:tc>
          <w:tcPr>
            <w:tcW w:w="3637" w:type="dxa"/>
            <w:gridSpan w:val="2"/>
          </w:tcPr>
          <w:p w14:paraId="1512D215" w14:textId="77777777" w:rsidR="005E496D" w:rsidRPr="008A6172" w:rsidRDefault="005E496D" w:rsidP="0047743A">
            <w:pPr>
              <w:spacing w:after="200" w:line="276" w:lineRule="auto"/>
              <w:rPr>
                <w:szCs w:val="24"/>
              </w:rPr>
            </w:pPr>
          </w:p>
        </w:tc>
      </w:tr>
      <w:tr w:rsidR="005E496D" w:rsidRPr="008A6172" w14:paraId="4118CF4B" w14:textId="77777777" w:rsidTr="1011A7CF">
        <w:tc>
          <w:tcPr>
            <w:tcW w:w="5380" w:type="dxa"/>
            <w:gridSpan w:val="2"/>
            <w:shd w:val="clear" w:color="auto" w:fill="E5DFEC"/>
            <w:vAlign w:val="center"/>
          </w:tcPr>
          <w:p w14:paraId="69860CB8" w14:textId="77777777" w:rsidR="005E496D" w:rsidRPr="008A6172" w:rsidRDefault="005E496D" w:rsidP="0047743A">
            <w:pPr>
              <w:spacing w:after="200" w:line="276" w:lineRule="auto"/>
              <w:rPr>
                <w:sz w:val="22"/>
                <w:szCs w:val="22"/>
              </w:rPr>
            </w:pPr>
            <w:r w:rsidRPr="008A6172">
              <w:rPr>
                <w:sz w:val="22"/>
                <w:szCs w:val="22"/>
              </w:rPr>
              <w:t>I am unable to provide a copy of my two most recent appraisals for the following reason:</w:t>
            </w:r>
          </w:p>
        </w:tc>
        <w:tc>
          <w:tcPr>
            <w:tcW w:w="3637" w:type="dxa"/>
            <w:gridSpan w:val="2"/>
          </w:tcPr>
          <w:p w14:paraId="56A2DD83" w14:textId="77777777" w:rsidR="005E496D" w:rsidRPr="008A6172" w:rsidRDefault="005E496D" w:rsidP="0047743A">
            <w:pPr>
              <w:spacing w:after="200" w:line="276" w:lineRule="auto"/>
              <w:rPr>
                <w:szCs w:val="24"/>
              </w:rPr>
            </w:pPr>
          </w:p>
        </w:tc>
      </w:tr>
      <w:tr w:rsidR="005E496D" w:rsidRPr="008A6172" w14:paraId="62026F4C" w14:textId="77777777" w:rsidTr="1011A7CF">
        <w:tc>
          <w:tcPr>
            <w:tcW w:w="5380" w:type="dxa"/>
            <w:gridSpan w:val="2"/>
            <w:shd w:val="clear" w:color="auto" w:fill="E5DFEC"/>
            <w:vAlign w:val="center"/>
          </w:tcPr>
          <w:p w14:paraId="6FD54EE1" w14:textId="77777777" w:rsidR="005E496D" w:rsidRPr="008A6172" w:rsidRDefault="005E496D" w:rsidP="0047743A">
            <w:pPr>
              <w:spacing w:after="200" w:line="276" w:lineRule="auto"/>
              <w:rPr>
                <w:sz w:val="22"/>
                <w:szCs w:val="22"/>
              </w:rPr>
            </w:pPr>
            <w:r w:rsidRPr="008A6172">
              <w:rPr>
                <w:sz w:val="22"/>
                <w:szCs w:val="22"/>
              </w:rPr>
              <w:t>I therefore attach a written statement and summary of evidence to demonstrate how I have met the assessment criteria above.</w:t>
            </w:r>
          </w:p>
        </w:tc>
        <w:tc>
          <w:tcPr>
            <w:tcW w:w="3637" w:type="dxa"/>
            <w:gridSpan w:val="2"/>
            <w:vAlign w:val="center"/>
          </w:tcPr>
          <w:p w14:paraId="653FF763" w14:textId="77777777" w:rsidR="005E496D" w:rsidRPr="008A6172" w:rsidRDefault="005E496D" w:rsidP="0047743A">
            <w:pPr>
              <w:spacing w:after="200" w:line="276" w:lineRule="auto"/>
              <w:jc w:val="center"/>
              <w:rPr>
                <w:szCs w:val="24"/>
              </w:rPr>
            </w:pPr>
            <w:r w:rsidRPr="008A6172">
              <w:rPr>
                <w:szCs w:val="24"/>
              </w:rPr>
              <w:t>YES / NO / N/A</w:t>
            </w:r>
          </w:p>
        </w:tc>
      </w:tr>
    </w:tbl>
    <w:p w14:paraId="1274AAC0" w14:textId="77777777" w:rsidR="008A6172" w:rsidRPr="008A6172" w:rsidRDefault="008A6172" w:rsidP="008A6172">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6807"/>
      </w:tblGrid>
      <w:tr w:rsidR="0061698A" w14:paraId="375B7FB3" w14:textId="77777777" w:rsidTr="008A6172">
        <w:tc>
          <w:tcPr>
            <w:tcW w:w="9243" w:type="dxa"/>
            <w:gridSpan w:val="2"/>
            <w:shd w:val="clear" w:color="auto" w:fill="403152"/>
            <w:vAlign w:val="center"/>
          </w:tcPr>
          <w:p w14:paraId="20C7500F" w14:textId="77777777" w:rsidR="0099266A" w:rsidRDefault="0099266A" w:rsidP="0099266A">
            <w:pPr>
              <w:rPr>
                <w:b/>
                <w:sz w:val="22"/>
                <w:szCs w:val="22"/>
              </w:rPr>
            </w:pPr>
          </w:p>
          <w:p w14:paraId="19570DCB" w14:textId="77777777" w:rsidR="0061698A" w:rsidRPr="0061698A" w:rsidRDefault="0061698A" w:rsidP="0099266A">
            <w:pPr>
              <w:rPr>
                <w:b/>
                <w:sz w:val="22"/>
                <w:szCs w:val="22"/>
              </w:rPr>
            </w:pPr>
            <w:r w:rsidRPr="0061698A">
              <w:rPr>
                <w:b/>
                <w:sz w:val="22"/>
                <w:szCs w:val="22"/>
              </w:rPr>
              <w:t>DECLARATION:</w:t>
            </w:r>
          </w:p>
          <w:p w14:paraId="3BB8DD05" w14:textId="77777777" w:rsidR="0061698A" w:rsidRPr="0061698A" w:rsidRDefault="0061698A" w:rsidP="008A6172">
            <w:pPr>
              <w:shd w:val="clear" w:color="auto" w:fill="403152"/>
              <w:rPr>
                <w:sz w:val="22"/>
                <w:szCs w:val="22"/>
              </w:rPr>
            </w:pPr>
          </w:p>
          <w:p w14:paraId="3E03CC1A" w14:textId="77777777" w:rsidR="0099266A" w:rsidRDefault="0061698A" w:rsidP="008A6172">
            <w:pPr>
              <w:shd w:val="clear" w:color="auto" w:fill="403152"/>
              <w:rPr>
                <w:sz w:val="22"/>
                <w:szCs w:val="22"/>
              </w:rPr>
            </w:pPr>
            <w:r w:rsidRPr="0061698A">
              <w:rPr>
                <w:sz w:val="22"/>
                <w:szCs w:val="22"/>
              </w:rPr>
              <w:t>I confirm that at the date</w:t>
            </w:r>
            <w:r w:rsidR="0099266A">
              <w:rPr>
                <w:sz w:val="22"/>
                <w:szCs w:val="22"/>
              </w:rPr>
              <w:t xml:space="preserve"> of this request for </w:t>
            </w:r>
            <w:proofErr w:type="gramStart"/>
            <w:r w:rsidR="0099266A">
              <w:rPr>
                <w:sz w:val="22"/>
                <w:szCs w:val="22"/>
              </w:rPr>
              <w:t>assessment;</w:t>
            </w:r>
            <w:proofErr w:type="gramEnd"/>
          </w:p>
          <w:p w14:paraId="32B9DFA2" w14:textId="77777777" w:rsidR="0099266A" w:rsidRDefault="0099266A" w:rsidP="008A6172">
            <w:pPr>
              <w:shd w:val="clear" w:color="auto" w:fill="403152"/>
              <w:rPr>
                <w:sz w:val="22"/>
                <w:szCs w:val="22"/>
              </w:rPr>
            </w:pPr>
          </w:p>
          <w:p w14:paraId="1FC509B1" w14:textId="77777777" w:rsidR="0099266A" w:rsidRDefault="0061698A" w:rsidP="00D13A0A">
            <w:pPr>
              <w:numPr>
                <w:ilvl w:val="0"/>
                <w:numId w:val="14"/>
              </w:numPr>
              <w:shd w:val="clear" w:color="auto" w:fill="403152"/>
              <w:ind w:left="426" w:hanging="284"/>
              <w:rPr>
                <w:sz w:val="22"/>
                <w:szCs w:val="22"/>
              </w:rPr>
            </w:pPr>
            <w:r w:rsidRPr="0061698A">
              <w:rPr>
                <w:sz w:val="22"/>
                <w:szCs w:val="22"/>
              </w:rPr>
              <w:t xml:space="preserve">I meet the eligibility criteria </w:t>
            </w:r>
            <w:r w:rsidR="0099266A">
              <w:rPr>
                <w:sz w:val="22"/>
                <w:szCs w:val="22"/>
              </w:rPr>
              <w:t xml:space="preserve">as details below </w:t>
            </w:r>
            <w:r w:rsidRPr="0061698A">
              <w:rPr>
                <w:sz w:val="22"/>
                <w:szCs w:val="22"/>
              </w:rPr>
              <w:t xml:space="preserve">and </w:t>
            </w:r>
          </w:p>
          <w:p w14:paraId="65119BD9" w14:textId="77777777" w:rsidR="0061698A" w:rsidRPr="0061698A" w:rsidRDefault="0061698A" w:rsidP="00D13A0A">
            <w:pPr>
              <w:numPr>
                <w:ilvl w:val="0"/>
                <w:numId w:val="14"/>
              </w:numPr>
              <w:shd w:val="clear" w:color="auto" w:fill="403152"/>
              <w:ind w:left="426" w:hanging="284"/>
              <w:rPr>
                <w:sz w:val="22"/>
                <w:szCs w:val="22"/>
              </w:rPr>
            </w:pPr>
            <w:r w:rsidRPr="0061698A">
              <w:rPr>
                <w:sz w:val="22"/>
                <w:szCs w:val="22"/>
              </w:rPr>
              <w:t xml:space="preserve">I </w:t>
            </w:r>
            <w:r w:rsidR="0099266A">
              <w:rPr>
                <w:sz w:val="22"/>
                <w:szCs w:val="22"/>
              </w:rPr>
              <w:t>attach</w:t>
            </w:r>
            <w:r w:rsidRPr="0061698A">
              <w:rPr>
                <w:sz w:val="22"/>
                <w:szCs w:val="22"/>
              </w:rPr>
              <w:t xml:space="preserve"> </w:t>
            </w:r>
            <w:r w:rsidR="0099266A">
              <w:rPr>
                <w:sz w:val="22"/>
                <w:szCs w:val="22"/>
              </w:rPr>
              <w:t>the above required documents,</w:t>
            </w:r>
            <w:r w:rsidRPr="0061698A">
              <w:rPr>
                <w:sz w:val="22"/>
                <w:szCs w:val="22"/>
              </w:rPr>
              <w:t xml:space="preserve"> covering the relevant period.</w:t>
            </w:r>
          </w:p>
          <w:p w14:paraId="6F94B7C9" w14:textId="77777777" w:rsidR="0061698A" w:rsidRDefault="0061698A" w:rsidP="0099266A"/>
        </w:tc>
      </w:tr>
      <w:tr w:rsidR="0061698A" w14:paraId="41ACA5D0" w14:textId="77777777" w:rsidTr="007442D8">
        <w:trPr>
          <w:trHeight w:val="477"/>
        </w:trPr>
        <w:tc>
          <w:tcPr>
            <w:tcW w:w="2235" w:type="dxa"/>
            <w:shd w:val="clear" w:color="auto" w:fill="403152"/>
            <w:vAlign w:val="center"/>
          </w:tcPr>
          <w:p w14:paraId="1DC82B35" w14:textId="5125BC24" w:rsidR="007442D8" w:rsidRPr="0061698A" w:rsidRDefault="0061698A" w:rsidP="007442D8">
            <w:pPr>
              <w:rPr>
                <w:sz w:val="22"/>
                <w:szCs w:val="22"/>
              </w:rPr>
            </w:pPr>
            <w:r w:rsidRPr="0061698A">
              <w:rPr>
                <w:sz w:val="22"/>
                <w:szCs w:val="22"/>
              </w:rPr>
              <w:t>Signature:</w:t>
            </w:r>
          </w:p>
        </w:tc>
        <w:tc>
          <w:tcPr>
            <w:tcW w:w="7008" w:type="dxa"/>
          </w:tcPr>
          <w:p w14:paraId="232E48D4" w14:textId="77777777" w:rsidR="0061698A" w:rsidRDefault="0061698A" w:rsidP="00F4127C"/>
        </w:tc>
      </w:tr>
      <w:tr w:rsidR="0061698A" w14:paraId="2831C2C4" w14:textId="77777777" w:rsidTr="007442D8">
        <w:trPr>
          <w:trHeight w:val="413"/>
        </w:trPr>
        <w:tc>
          <w:tcPr>
            <w:tcW w:w="2235" w:type="dxa"/>
            <w:shd w:val="clear" w:color="auto" w:fill="403152"/>
            <w:vAlign w:val="center"/>
          </w:tcPr>
          <w:p w14:paraId="2264F40B" w14:textId="5371765C" w:rsidR="0061698A" w:rsidRPr="0061698A" w:rsidRDefault="0061698A" w:rsidP="0099266A">
            <w:pPr>
              <w:rPr>
                <w:sz w:val="22"/>
                <w:szCs w:val="22"/>
              </w:rPr>
            </w:pPr>
            <w:r w:rsidRPr="0061698A">
              <w:rPr>
                <w:sz w:val="22"/>
                <w:szCs w:val="22"/>
              </w:rPr>
              <w:t>Name:</w:t>
            </w:r>
          </w:p>
        </w:tc>
        <w:tc>
          <w:tcPr>
            <w:tcW w:w="7008" w:type="dxa"/>
          </w:tcPr>
          <w:p w14:paraId="15F30C76" w14:textId="77777777" w:rsidR="0061698A" w:rsidRDefault="0061698A" w:rsidP="00F4127C"/>
        </w:tc>
      </w:tr>
      <w:tr w:rsidR="0061698A" w14:paraId="3297BF50" w14:textId="77777777" w:rsidTr="007442D8">
        <w:trPr>
          <w:trHeight w:val="419"/>
        </w:trPr>
        <w:tc>
          <w:tcPr>
            <w:tcW w:w="2235" w:type="dxa"/>
            <w:shd w:val="clear" w:color="auto" w:fill="403152"/>
            <w:vAlign w:val="center"/>
          </w:tcPr>
          <w:p w14:paraId="444C5F84" w14:textId="33D5FA07" w:rsidR="0061698A" w:rsidRPr="0061698A" w:rsidRDefault="0061698A" w:rsidP="007442D8">
            <w:pPr>
              <w:rPr>
                <w:sz w:val="22"/>
                <w:szCs w:val="22"/>
              </w:rPr>
            </w:pPr>
            <w:r w:rsidRPr="0061698A">
              <w:rPr>
                <w:sz w:val="22"/>
                <w:szCs w:val="22"/>
              </w:rPr>
              <w:t>Date:</w:t>
            </w:r>
          </w:p>
        </w:tc>
        <w:tc>
          <w:tcPr>
            <w:tcW w:w="7008" w:type="dxa"/>
          </w:tcPr>
          <w:p w14:paraId="40F92F48" w14:textId="77777777" w:rsidR="0061698A" w:rsidRDefault="0061698A" w:rsidP="00F4127C"/>
        </w:tc>
      </w:tr>
    </w:tbl>
    <w:p w14:paraId="029337F5" w14:textId="77777777" w:rsidR="005B59B3" w:rsidRPr="005B59B3" w:rsidRDefault="005B59B3" w:rsidP="00F4127C">
      <w:pPr>
        <w:spacing w:after="200" w:line="276" w:lineRule="auto"/>
        <w:ind w:left="1440" w:hanging="1440"/>
        <w:rPr>
          <w:b/>
          <w:sz w:val="16"/>
          <w:szCs w:val="16"/>
        </w:rPr>
      </w:pPr>
    </w:p>
    <w:p w14:paraId="64D667F3" w14:textId="77777777" w:rsidR="00F4127C" w:rsidRPr="00233CBE" w:rsidRDefault="00F4127C" w:rsidP="00F4127C">
      <w:pPr>
        <w:spacing w:after="200" w:line="276" w:lineRule="auto"/>
        <w:ind w:left="1440" w:hanging="1440"/>
        <w:rPr>
          <w:b/>
          <w:sz w:val="22"/>
          <w:szCs w:val="22"/>
        </w:rPr>
      </w:pPr>
      <w:r w:rsidRPr="00233CBE">
        <w:rPr>
          <w:b/>
          <w:sz w:val="22"/>
          <w:szCs w:val="22"/>
        </w:rPr>
        <w:t xml:space="preserve">NOTE: </w:t>
      </w:r>
      <w:r w:rsidRPr="00233CBE">
        <w:rPr>
          <w:b/>
          <w:sz w:val="22"/>
          <w:szCs w:val="22"/>
        </w:rPr>
        <w:tab/>
        <w:t xml:space="preserve">The deadline for receipt of this application is </w:t>
      </w:r>
      <w:r w:rsidRPr="00233CBE">
        <w:rPr>
          <w:b/>
          <w:sz w:val="22"/>
          <w:szCs w:val="22"/>
          <w:u w:val="single"/>
        </w:rPr>
        <w:t>31 October</w:t>
      </w:r>
      <w:r w:rsidRPr="00233CBE">
        <w:rPr>
          <w:b/>
          <w:sz w:val="22"/>
          <w:szCs w:val="22"/>
        </w:rPr>
        <w:t xml:space="preserve"> for progression from the start of the academic year</w:t>
      </w:r>
      <w:r w:rsidR="0099266A" w:rsidRPr="00233CBE">
        <w:rPr>
          <w:b/>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6952"/>
      </w:tblGrid>
      <w:tr w:rsidR="0099266A" w:rsidRPr="008A6172" w14:paraId="1FEEC6D8" w14:textId="77777777" w:rsidTr="74AE8F71">
        <w:tc>
          <w:tcPr>
            <w:tcW w:w="9243" w:type="dxa"/>
            <w:gridSpan w:val="2"/>
            <w:shd w:val="clear" w:color="auto" w:fill="403152"/>
          </w:tcPr>
          <w:p w14:paraId="105ECD18" w14:textId="77777777" w:rsidR="0099266A" w:rsidRPr="008A6172" w:rsidRDefault="0099266A" w:rsidP="008A6172">
            <w:pPr>
              <w:spacing w:after="200" w:line="276" w:lineRule="auto"/>
              <w:rPr>
                <w:b/>
                <w:sz w:val="22"/>
                <w:szCs w:val="22"/>
              </w:rPr>
            </w:pPr>
            <w:r w:rsidRPr="008A6172">
              <w:rPr>
                <w:b/>
                <w:sz w:val="22"/>
                <w:szCs w:val="22"/>
              </w:rPr>
              <w:lastRenderedPageBreak/>
              <w:t>C</w:t>
            </w:r>
            <w:r w:rsidRPr="008A6172">
              <w:rPr>
                <w:b/>
                <w:sz w:val="22"/>
                <w:szCs w:val="22"/>
                <w:shd w:val="clear" w:color="auto" w:fill="403152"/>
              </w:rPr>
              <w:t>RITERIA</w:t>
            </w:r>
            <w:r w:rsidR="00233CBE" w:rsidRPr="008A6172">
              <w:rPr>
                <w:b/>
                <w:sz w:val="22"/>
                <w:szCs w:val="22"/>
                <w:shd w:val="clear" w:color="auto" w:fill="403152"/>
              </w:rPr>
              <w:t>:</w:t>
            </w:r>
          </w:p>
        </w:tc>
      </w:tr>
      <w:tr w:rsidR="0099266A" w:rsidRPr="008A6172" w14:paraId="38FEFC3C" w14:textId="77777777" w:rsidTr="74AE8F71">
        <w:tc>
          <w:tcPr>
            <w:tcW w:w="9243" w:type="dxa"/>
            <w:gridSpan w:val="2"/>
            <w:shd w:val="clear" w:color="auto" w:fill="E5DFEC"/>
          </w:tcPr>
          <w:p w14:paraId="264F1DFE" w14:textId="73E9CF47" w:rsidR="0099266A" w:rsidRPr="008A6172" w:rsidRDefault="0099266A" w:rsidP="008A6172">
            <w:pPr>
              <w:spacing w:after="200" w:line="276" w:lineRule="auto"/>
              <w:rPr>
                <w:sz w:val="22"/>
                <w:szCs w:val="22"/>
              </w:rPr>
            </w:pPr>
            <w:r w:rsidRPr="74AE8F71">
              <w:rPr>
                <w:sz w:val="22"/>
                <w:szCs w:val="22"/>
              </w:rPr>
              <w:t>To be successful in applying to be paid on the upper pay range</w:t>
            </w:r>
            <w:r w:rsidR="6B9F460D" w:rsidRPr="74AE8F71">
              <w:rPr>
                <w:sz w:val="22"/>
                <w:szCs w:val="22"/>
              </w:rPr>
              <w:t xml:space="preserve"> the upper pay </w:t>
            </w:r>
            <w:r w:rsidRPr="74AE8F71">
              <w:rPr>
                <w:sz w:val="22"/>
                <w:szCs w:val="22"/>
              </w:rPr>
              <w:t>a teacher will be required to meet the criteria set out below:</w:t>
            </w:r>
          </w:p>
          <w:p w14:paraId="443E64BA" w14:textId="77777777" w:rsidR="0099266A" w:rsidRPr="008A6172" w:rsidRDefault="0099266A" w:rsidP="00D13A0A">
            <w:pPr>
              <w:numPr>
                <w:ilvl w:val="0"/>
                <w:numId w:val="15"/>
              </w:numPr>
              <w:ind w:left="709" w:hanging="425"/>
              <w:rPr>
                <w:sz w:val="22"/>
                <w:szCs w:val="22"/>
              </w:rPr>
            </w:pPr>
            <w:r w:rsidRPr="008A6172">
              <w:rPr>
                <w:sz w:val="22"/>
                <w:szCs w:val="22"/>
              </w:rPr>
              <w:t>the teacher is highly competent in all elements of the relevant standards:</w:t>
            </w:r>
          </w:p>
          <w:p w14:paraId="28AB0A0A" w14:textId="77777777" w:rsidR="0099266A" w:rsidRPr="008A6172" w:rsidRDefault="0099266A" w:rsidP="00D13A0A">
            <w:pPr>
              <w:numPr>
                <w:ilvl w:val="0"/>
                <w:numId w:val="15"/>
              </w:numPr>
              <w:ind w:left="709" w:hanging="425"/>
              <w:rPr>
                <w:sz w:val="22"/>
                <w:szCs w:val="22"/>
              </w:rPr>
            </w:pPr>
            <w:r w:rsidRPr="008A6172">
              <w:rPr>
                <w:sz w:val="22"/>
                <w:szCs w:val="22"/>
              </w:rPr>
              <w:t>the teacher’s achievements and contribution to the school are substantial and sustained.</w:t>
            </w:r>
          </w:p>
          <w:p w14:paraId="44ACECA3" w14:textId="77777777" w:rsidR="0099266A" w:rsidRPr="008A6172" w:rsidRDefault="0099266A" w:rsidP="008A6172">
            <w:pPr>
              <w:ind w:left="1134"/>
              <w:rPr>
                <w:sz w:val="22"/>
                <w:szCs w:val="22"/>
              </w:rPr>
            </w:pPr>
          </w:p>
        </w:tc>
      </w:tr>
      <w:tr w:rsidR="0099266A" w:rsidRPr="008A6172" w14:paraId="35B9A4D1" w14:textId="77777777" w:rsidTr="74AE8F71">
        <w:tc>
          <w:tcPr>
            <w:tcW w:w="9243" w:type="dxa"/>
            <w:gridSpan w:val="2"/>
            <w:shd w:val="clear" w:color="auto" w:fill="403152"/>
          </w:tcPr>
          <w:p w14:paraId="291F6D87" w14:textId="77777777" w:rsidR="0099266A" w:rsidRPr="008A6172" w:rsidRDefault="0099266A" w:rsidP="008A6172">
            <w:pPr>
              <w:spacing w:after="200" w:line="276" w:lineRule="auto"/>
              <w:rPr>
                <w:b/>
                <w:sz w:val="22"/>
                <w:szCs w:val="22"/>
              </w:rPr>
            </w:pPr>
            <w:r w:rsidRPr="008A6172">
              <w:rPr>
                <w:b/>
                <w:sz w:val="22"/>
                <w:szCs w:val="22"/>
              </w:rPr>
              <w:t>DEFINITIONS</w:t>
            </w:r>
            <w:r w:rsidR="00233CBE" w:rsidRPr="008A6172">
              <w:rPr>
                <w:b/>
                <w:sz w:val="22"/>
                <w:szCs w:val="22"/>
              </w:rPr>
              <w:t>:</w:t>
            </w:r>
          </w:p>
        </w:tc>
      </w:tr>
      <w:tr w:rsidR="00F4127C" w:rsidRPr="008A6172" w14:paraId="6D1B668E" w14:textId="77777777" w:rsidTr="74AE8F71">
        <w:tc>
          <w:tcPr>
            <w:tcW w:w="2093" w:type="dxa"/>
            <w:shd w:val="clear" w:color="auto" w:fill="403152"/>
          </w:tcPr>
          <w:p w14:paraId="2DF4B86C" w14:textId="77777777" w:rsidR="00F4127C" w:rsidRPr="008A6172" w:rsidRDefault="00F4127C" w:rsidP="008A6172">
            <w:pPr>
              <w:spacing w:after="200" w:line="276" w:lineRule="auto"/>
              <w:rPr>
                <w:sz w:val="22"/>
                <w:szCs w:val="22"/>
              </w:rPr>
            </w:pPr>
            <w:r w:rsidRPr="008A6172">
              <w:rPr>
                <w:sz w:val="22"/>
                <w:szCs w:val="22"/>
              </w:rPr>
              <w:t>Highly Competent</w:t>
            </w:r>
          </w:p>
          <w:p w14:paraId="2053E08D" w14:textId="77777777" w:rsidR="00F4127C" w:rsidRPr="008A6172" w:rsidRDefault="00F4127C" w:rsidP="008A6172">
            <w:pPr>
              <w:spacing w:after="200" w:line="276" w:lineRule="auto"/>
              <w:rPr>
                <w:sz w:val="22"/>
                <w:szCs w:val="22"/>
              </w:rPr>
            </w:pPr>
          </w:p>
        </w:tc>
        <w:tc>
          <w:tcPr>
            <w:tcW w:w="7150" w:type="dxa"/>
            <w:shd w:val="clear" w:color="auto" w:fill="E5DFEC"/>
          </w:tcPr>
          <w:p w14:paraId="4CDA487B" w14:textId="77777777" w:rsidR="00F4127C" w:rsidRPr="008A6172" w:rsidRDefault="00F4127C" w:rsidP="008A6172">
            <w:pPr>
              <w:spacing w:after="200" w:line="276" w:lineRule="auto"/>
              <w:rPr>
                <w:sz w:val="22"/>
                <w:szCs w:val="22"/>
              </w:rPr>
            </w:pPr>
            <w:r w:rsidRPr="008A6172">
              <w:rPr>
                <w:sz w:val="22"/>
                <w:szCs w:val="22"/>
              </w:rPr>
              <w:t xml:space="preserve">The teacher’s performance is assessed as not only good but also good enough to provide coaching and mentoring to other teachers, give advice to them and demonstrate to them effective teaching practice and how to make a wider contribution to the work of the school, </w:t>
            </w:r>
            <w:proofErr w:type="gramStart"/>
            <w:r w:rsidRPr="008A6172">
              <w:rPr>
                <w:sz w:val="22"/>
                <w:szCs w:val="22"/>
              </w:rPr>
              <w:t>in order to</w:t>
            </w:r>
            <w:proofErr w:type="gramEnd"/>
            <w:r w:rsidRPr="008A6172">
              <w:rPr>
                <w:sz w:val="22"/>
                <w:szCs w:val="22"/>
              </w:rPr>
              <w:t xml:space="preserve"> help them meet the relevant standards and develop their teaching practice.</w:t>
            </w:r>
          </w:p>
        </w:tc>
      </w:tr>
      <w:tr w:rsidR="00F4127C" w:rsidRPr="008A6172" w14:paraId="1E779BEA" w14:textId="77777777" w:rsidTr="74AE8F71">
        <w:tc>
          <w:tcPr>
            <w:tcW w:w="2093" w:type="dxa"/>
            <w:shd w:val="clear" w:color="auto" w:fill="403152"/>
          </w:tcPr>
          <w:p w14:paraId="4F3A478D" w14:textId="77777777" w:rsidR="00F4127C" w:rsidRPr="008A6172" w:rsidRDefault="00F4127C" w:rsidP="008A6172">
            <w:pPr>
              <w:spacing w:after="200" w:line="276" w:lineRule="auto"/>
              <w:rPr>
                <w:sz w:val="22"/>
                <w:szCs w:val="22"/>
              </w:rPr>
            </w:pPr>
            <w:r w:rsidRPr="008A6172">
              <w:rPr>
                <w:sz w:val="22"/>
                <w:szCs w:val="22"/>
              </w:rPr>
              <w:t>Substantial</w:t>
            </w:r>
          </w:p>
          <w:p w14:paraId="09D7D0B5" w14:textId="77777777" w:rsidR="00F4127C" w:rsidRPr="008A6172" w:rsidRDefault="00F4127C" w:rsidP="008A6172">
            <w:pPr>
              <w:spacing w:after="200" w:line="276" w:lineRule="auto"/>
              <w:rPr>
                <w:sz w:val="22"/>
                <w:szCs w:val="22"/>
              </w:rPr>
            </w:pPr>
          </w:p>
        </w:tc>
        <w:tc>
          <w:tcPr>
            <w:tcW w:w="7150" w:type="dxa"/>
            <w:shd w:val="clear" w:color="auto" w:fill="E5DFEC"/>
          </w:tcPr>
          <w:p w14:paraId="376E531F" w14:textId="77777777" w:rsidR="00F4127C" w:rsidRPr="008A6172" w:rsidRDefault="00F4127C" w:rsidP="008A6172">
            <w:pPr>
              <w:spacing w:after="200" w:line="276" w:lineRule="auto"/>
              <w:rPr>
                <w:sz w:val="22"/>
                <w:szCs w:val="22"/>
              </w:rPr>
            </w:pPr>
            <w:r w:rsidRPr="008A6172">
              <w:rPr>
                <w:sz w:val="22"/>
                <w:szCs w:val="22"/>
              </w:rPr>
              <w:t>The teacher’s achievements and contribution to the school are significant not just in raising standards of teaching and learning in their own classroom, or with their own groups of children, but also in making a significant wider contribution to school improvement, which impacts on pupil progress and the effectiveness of staff and colleagues.</w:t>
            </w:r>
          </w:p>
        </w:tc>
      </w:tr>
      <w:tr w:rsidR="00F4127C" w:rsidRPr="008A6172" w14:paraId="5EA7D5AF" w14:textId="77777777" w:rsidTr="74AE8F71">
        <w:tc>
          <w:tcPr>
            <w:tcW w:w="2093" w:type="dxa"/>
            <w:shd w:val="clear" w:color="auto" w:fill="403152"/>
          </w:tcPr>
          <w:p w14:paraId="6DA516B4" w14:textId="77777777" w:rsidR="00F4127C" w:rsidRPr="008A6172" w:rsidRDefault="00F4127C" w:rsidP="008A6172">
            <w:pPr>
              <w:spacing w:after="200" w:line="276" w:lineRule="auto"/>
              <w:rPr>
                <w:sz w:val="22"/>
                <w:szCs w:val="22"/>
              </w:rPr>
            </w:pPr>
            <w:r w:rsidRPr="008A6172">
              <w:rPr>
                <w:sz w:val="22"/>
                <w:szCs w:val="22"/>
              </w:rPr>
              <w:t xml:space="preserve">Sustained </w:t>
            </w:r>
          </w:p>
          <w:p w14:paraId="7164E828" w14:textId="77777777" w:rsidR="00F4127C" w:rsidRPr="008A6172" w:rsidRDefault="00F4127C" w:rsidP="008A6172">
            <w:pPr>
              <w:spacing w:after="200" w:line="276" w:lineRule="auto"/>
              <w:rPr>
                <w:sz w:val="22"/>
                <w:szCs w:val="22"/>
              </w:rPr>
            </w:pPr>
          </w:p>
        </w:tc>
        <w:tc>
          <w:tcPr>
            <w:tcW w:w="7150" w:type="dxa"/>
            <w:shd w:val="clear" w:color="auto" w:fill="E5DFEC"/>
          </w:tcPr>
          <w:p w14:paraId="472B2E9B" w14:textId="77777777" w:rsidR="00F4127C" w:rsidRPr="008A6172" w:rsidRDefault="00F4127C" w:rsidP="008A6172">
            <w:pPr>
              <w:spacing w:after="200" w:line="276" w:lineRule="auto"/>
              <w:rPr>
                <w:sz w:val="22"/>
                <w:szCs w:val="22"/>
              </w:rPr>
            </w:pPr>
            <w:r w:rsidRPr="008A6172">
              <w:rPr>
                <w:sz w:val="22"/>
                <w:szCs w:val="22"/>
              </w:rPr>
              <w:t xml:space="preserve">The teacher must have had two consecutive successful appraisal reports in this school and have made good progress towards their objectives during this period.  Please note that a lesser </w:t>
            </w:r>
            <w:proofErr w:type="gramStart"/>
            <w:r w:rsidRPr="008A6172">
              <w:rPr>
                <w:sz w:val="22"/>
                <w:szCs w:val="22"/>
              </w:rPr>
              <w:t>period of time</w:t>
            </w:r>
            <w:proofErr w:type="gramEnd"/>
            <w:r w:rsidRPr="008A6172">
              <w:rPr>
                <w:sz w:val="22"/>
                <w:szCs w:val="22"/>
              </w:rPr>
              <w:t xml:space="preserve"> can be considered in situations such as maternity or </w:t>
            </w:r>
            <w:proofErr w:type="gramStart"/>
            <w:r w:rsidRPr="008A6172">
              <w:rPr>
                <w:sz w:val="22"/>
                <w:szCs w:val="22"/>
              </w:rPr>
              <w:t>long term</w:t>
            </w:r>
            <w:proofErr w:type="gramEnd"/>
            <w:r w:rsidRPr="008A6172">
              <w:rPr>
                <w:sz w:val="22"/>
                <w:szCs w:val="22"/>
              </w:rPr>
              <w:t xml:space="preserve"> sickness leave</w:t>
            </w:r>
          </w:p>
        </w:tc>
      </w:tr>
    </w:tbl>
    <w:p w14:paraId="67BD918F" w14:textId="77777777" w:rsidR="0099266A" w:rsidRDefault="0099266A" w:rsidP="00F4127C">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16"/>
        <w:gridCol w:w="3101"/>
      </w:tblGrid>
      <w:tr w:rsidR="0099266A" w:rsidRPr="008A6172" w14:paraId="4E2730B2" w14:textId="77777777" w:rsidTr="008A6172">
        <w:tc>
          <w:tcPr>
            <w:tcW w:w="9243" w:type="dxa"/>
            <w:gridSpan w:val="2"/>
            <w:shd w:val="clear" w:color="auto" w:fill="403152"/>
            <w:vAlign w:val="center"/>
          </w:tcPr>
          <w:p w14:paraId="6E8605DF" w14:textId="77777777" w:rsidR="0099266A" w:rsidRPr="008A6172" w:rsidRDefault="0099266A" w:rsidP="0099266A">
            <w:pPr>
              <w:rPr>
                <w:sz w:val="22"/>
                <w:szCs w:val="22"/>
              </w:rPr>
            </w:pPr>
            <w:r w:rsidRPr="008A6172">
              <w:rPr>
                <w:sz w:val="22"/>
                <w:szCs w:val="22"/>
              </w:rPr>
              <w:t xml:space="preserve">To be completed by a representative of the </w:t>
            </w:r>
            <w:r w:rsidRPr="008A6172">
              <w:rPr>
                <w:b/>
                <w:sz w:val="22"/>
                <w:szCs w:val="22"/>
              </w:rPr>
              <w:t>Governing Board</w:t>
            </w:r>
            <w:r w:rsidRPr="008A6172">
              <w:rPr>
                <w:sz w:val="22"/>
                <w:szCs w:val="22"/>
              </w:rPr>
              <w:t xml:space="preserve"> on consideration of application.</w:t>
            </w:r>
          </w:p>
          <w:p w14:paraId="269C1D92" w14:textId="77777777" w:rsidR="0099266A" w:rsidRPr="008A6172" w:rsidRDefault="0099266A" w:rsidP="0099266A">
            <w:pPr>
              <w:rPr>
                <w:sz w:val="22"/>
                <w:szCs w:val="22"/>
              </w:rPr>
            </w:pPr>
          </w:p>
        </w:tc>
      </w:tr>
      <w:tr w:rsidR="0099266A" w:rsidRPr="008A6172" w14:paraId="1E7AE1EE" w14:textId="77777777" w:rsidTr="008A6172">
        <w:tc>
          <w:tcPr>
            <w:tcW w:w="6062" w:type="dxa"/>
            <w:shd w:val="clear" w:color="auto" w:fill="403152"/>
            <w:vAlign w:val="center"/>
          </w:tcPr>
          <w:p w14:paraId="50840184" w14:textId="46D48706" w:rsidR="0099266A" w:rsidRPr="008A6172" w:rsidRDefault="0099266A" w:rsidP="0099266A">
            <w:pPr>
              <w:rPr>
                <w:sz w:val="22"/>
                <w:szCs w:val="22"/>
              </w:rPr>
            </w:pPr>
            <w:r w:rsidRPr="008A6172">
              <w:rPr>
                <w:sz w:val="22"/>
                <w:szCs w:val="22"/>
              </w:rPr>
              <w:t>Date application considered:</w:t>
            </w:r>
          </w:p>
          <w:p w14:paraId="733B1185" w14:textId="77777777" w:rsidR="0099266A" w:rsidRPr="008A6172" w:rsidRDefault="0099266A" w:rsidP="0099266A">
            <w:pPr>
              <w:rPr>
                <w:sz w:val="22"/>
                <w:szCs w:val="22"/>
              </w:rPr>
            </w:pPr>
          </w:p>
        </w:tc>
        <w:tc>
          <w:tcPr>
            <w:tcW w:w="3181" w:type="dxa"/>
            <w:vAlign w:val="center"/>
          </w:tcPr>
          <w:p w14:paraId="3C1C2316" w14:textId="77777777" w:rsidR="0099266A" w:rsidRPr="008A6172" w:rsidRDefault="0099266A" w:rsidP="008A6172">
            <w:pPr>
              <w:jc w:val="center"/>
              <w:rPr>
                <w:sz w:val="22"/>
                <w:szCs w:val="22"/>
              </w:rPr>
            </w:pPr>
          </w:p>
        </w:tc>
      </w:tr>
      <w:tr w:rsidR="0099266A" w:rsidRPr="008A6172" w14:paraId="3158608E" w14:textId="77777777" w:rsidTr="008A6172">
        <w:tc>
          <w:tcPr>
            <w:tcW w:w="6062" w:type="dxa"/>
            <w:shd w:val="clear" w:color="auto" w:fill="403152"/>
            <w:vAlign w:val="center"/>
          </w:tcPr>
          <w:p w14:paraId="6B3A2041" w14:textId="77777777" w:rsidR="0099266A" w:rsidRPr="008A6172" w:rsidRDefault="0099266A" w:rsidP="0099266A">
            <w:pPr>
              <w:rPr>
                <w:sz w:val="22"/>
                <w:szCs w:val="22"/>
              </w:rPr>
            </w:pPr>
            <w:r w:rsidRPr="008A6172">
              <w:rPr>
                <w:sz w:val="22"/>
                <w:szCs w:val="22"/>
              </w:rPr>
              <w:t xml:space="preserve">Application Successful </w:t>
            </w:r>
          </w:p>
          <w:p w14:paraId="2FF451AE" w14:textId="77777777" w:rsidR="0099266A" w:rsidRPr="008A6172" w:rsidRDefault="0099266A" w:rsidP="0099266A">
            <w:pPr>
              <w:rPr>
                <w:sz w:val="22"/>
                <w:szCs w:val="22"/>
              </w:rPr>
            </w:pPr>
          </w:p>
        </w:tc>
        <w:tc>
          <w:tcPr>
            <w:tcW w:w="3181" w:type="dxa"/>
            <w:vAlign w:val="center"/>
          </w:tcPr>
          <w:p w14:paraId="4AEE419F" w14:textId="77777777" w:rsidR="0099266A" w:rsidRPr="008A6172" w:rsidRDefault="0099266A" w:rsidP="008A6172">
            <w:pPr>
              <w:jc w:val="center"/>
              <w:rPr>
                <w:sz w:val="22"/>
                <w:szCs w:val="22"/>
              </w:rPr>
            </w:pPr>
            <w:r w:rsidRPr="008A6172">
              <w:rPr>
                <w:sz w:val="22"/>
                <w:szCs w:val="22"/>
              </w:rPr>
              <w:t>YES / NO</w:t>
            </w:r>
          </w:p>
        </w:tc>
      </w:tr>
      <w:tr w:rsidR="0099266A" w:rsidRPr="008A6172" w14:paraId="15C3AB8B" w14:textId="77777777" w:rsidTr="008A6172">
        <w:tc>
          <w:tcPr>
            <w:tcW w:w="6062" w:type="dxa"/>
            <w:shd w:val="clear" w:color="auto" w:fill="403152"/>
            <w:vAlign w:val="center"/>
          </w:tcPr>
          <w:p w14:paraId="267D01BA" w14:textId="77777777" w:rsidR="0099266A" w:rsidRPr="008A6172" w:rsidRDefault="0099266A" w:rsidP="0099266A">
            <w:pPr>
              <w:rPr>
                <w:sz w:val="22"/>
                <w:szCs w:val="22"/>
              </w:rPr>
            </w:pPr>
            <w:r w:rsidRPr="008A6172">
              <w:rPr>
                <w:sz w:val="22"/>
                <w:szCs w:val="22"/>
              </w:rPr>
              <w:t>If unsuccessful - Date written feedback provided (within 10 working days):</w:t>
            </w:r>
          </w:p>
          <w:p w14:paraId="24B803C1" w14:textId="77777777" w:rsidR="0099266A" w:rsidRPr="008A6172" w:rsidRDefault="0099266A" w:rsidP="0099266A">
            <w:pPr>
              <w:rPr>
                <w:sz w:val="22"/>
                <w:szCs w:val="22"/>
              </w:rPr>
            </w:pPr>
          </w:p>
        </w:tc>
        <w:tc>
          <w:tcPr>
            <w:tcW w:w="3181" w:type="dxa"/>
            <w:vAlign w:val="center"/>
          </w:tcPr>
          <w:p w14:paraId="4274CC05" w14:textId="77777777" w:rsidR="0099266A" w:rsidRPr="008A6172" w:rsidRDefault="0099266A" w:rsidP="008A6172">
            <w:pPr>
              <w:jc w:val="center"/>
              <w:rPr>
                <w:sz w:val="22"/>
                <w:szCs w:val="22"/>
              </w:rPr>
            </w:pPr>
          </w:p>
        </w:tc>
      </w:tr>
    </w:tbl>
    <w:p w14:paraId="0E98B12A" w14:textId="5BCECD5F" w:rsidR="00AD3FD8" w:rsidRDefault="00AD3FD8" w:rsidP="005E496D">
      <w:pPr>
        <w:ind w:left="1440"/>
        <w:rPr>
          <w:szCs w:val="24"/>
        </w:rPr>
      </w:pPr>
    </w:p>
    <w:p w14:paraId="27A991C0" w14:textId="2F493D3B" w:rsidR="006227DF" w:rsidRDefault="006227DF" w:rsidP="005E496D">
      <w:pPr>
        <w:ind w:left="1440"/>
        <w:rPr>
          <w:szCs w:val="24"/>
        </w:rPr>
      </w:pPr>
    </w:p>
    <w:p w14:paraId="27BEC90A" w14:textId="5D335ED8" w:rsidR="006227DF" w:rsidRDefault="006227DF" w:rsidP="005E496D">
      <w:pPr>
        <w:ind w:left="1440"/>
        <w:rPr>
          <w:szCs w:val="24"/>
        </w:rPr>
      </w:pPr>
    </w:p>
    <w:p w14:paraId="4D8817A0" w14:textId="1DA94185" w:rsidR="00487F8B" w:rsidRDefault="00487F8B" w:rsidP="005E496D">
      <w:pPr>
        <w:ind w:left="1440"/>
        <w:rPr>
          <w:szCs w:val="24"/>
        </w:rPr>
      </w:pPr>
      <w:r>
        <w:rPr>
          <w:szCs w:val="24"/>
        </w:rPr>
        <w:br/>
      </w:r>
    </w:p>
    <w:p w14:paraId="01433C19" w14:textId="77777777" w:rsidR="00487F8B" w:rsidRDefault="00487F8B">
      <w:pPr>
        <w:rPr>
          <w:szCs w:val="24"/>
        </w:rPr>
      </w:pPr>
      <w:r>
        <w:rPr>
          <w:szCs w:val="24"/>
        </w:rPr>
        <w:br w:type="page"/>
      </w:r>
    </w:p>
    <w:p w14:paraId="423245B6" w14:textId="37E2FE99" w:rsidR="00487F8B" w:rsidRPr="00DC1CCE" w:rsidRDefault="00487F8B" w:rsidP="00487F8B">
      <w:pPr>
        <w:ind w:left="1440"/>
        <w:jc w:val="right"/>
        <w:rPr>
          <w:b/>
          <w:bCs/>
          <w:szCs w:val="24"/>
        </w:rPr>
      </w:pPr>
      <w:r w:rsidRPr="00CA34CA">
        <w:rPr>
          <w:b/>
          <w:bCs/>
          <w:szCs w:val="24"/>
        </w:rPr>
        <w:lastRenderedPageBreak/>
        <w:t>Ap</w:t>
      </w:r>
      <w:r w:rsidRPr="00DC1CCE">
        <w:rPr>
          <w:b/>
          <w:bCs/>
          <w:szCs w:val="24"/>
        </w:rPr>
        <w:t>pendix 3</w:t>
      </w:r>
    </w:p>
    <w:p w14:paraId="60E7E6CA" w14:textId="77777777" w:rsidR="00482892" w:rsidRPr="00DC1CCE" w:rsidRDefault="00482892" w:rsidP="00487F8B">
      <w:pPr>
        <w:ind w:left="1440"/>
        <w:jc w:val="right"/>
        <w:rPr>
          <w:b/>
          <w:bCs/>
          <w:szCs w:val="24"/>
        </w:rPr>
      </w:pPr>
    </w:p>
    <w:p w14:paraId="4685C682" w14:textId="68A5E349" w:rsidR="00482892" w:rsidRPr="00DC1CCE" w:rsidRDefault="00482892" w:rsidP="1011A7CF">
      <w:pPr>
        <w:ind w:left="1440"/>
        <w:jc w:val="center"/>
        <w:rPr>
          <w:b/>
          <w:bCs/>
          <w:u w:val="single"/>
        </w:rPr>
      </w:pPr>
      <w:bookmarkStart w:id="47" w:name="PR"/>
      <w:r w:rsidRPr="6BEBBADE">
        <w:rPr>
          <w:b/>
          <w:bCs/>
          <w:u w:val="single"/>
        </w:rPr>
        <w:t>Pay Ranges for 202</w:t>
      </w:r>
      <w:r w:rsidR="189D4E7C" w:rsidRPr="6BEBBADE">
        <w:rPr>
          <w:b/>
          <w:bCs/>
          <w:u w:val="single"/>
        </w:rPr>
        <w:t>5</w:t>
      </w:r>
    </w:p>
    <w:bookmarkEnd w:id="47"/>
    <w:p w14:paraId="285C7766" w14:textId="77777777" w:rsidR="007F2D79" w:rsidRPr="00DC1CCE" w:rsidRDefault="007F2D79" w:rsidP="585CE774">
      <w:pPr>
        <w:ind w:left="1440"/>
        <w:jc w:val="right"/>
        <w:rPr>
          <w:b/>
          <w:bCs/>
        </w:rPr>
      </w:pPr>
    </w:p>
    <w:p w14:paraId="16FD086E" w14:textId="7ABAA30C" w:rsidR="00E44B0A" w:rsidRPr="00CA34CA" w:rsidRDefault="00E44B0A" w:rsidP="585CE774">
      <w:r w:rsidRPr="00DC1CCE">
        <w:rPr>
          <w:b/>
          <w:bCs/>
          <w:szCs w:val="24"/>
        </w:rPr>
        <w:tab/>
      </w:r>
      <w:bookmarkStart w:id="48" w:name="LeadPR"/>
      <w:r w:rsidRPr="00CA34CA">
        <w:rPr>
          <w:b/>
          <w:bCs/>
        </w:rPr>
        <w:t>Leadership Pay Range</w:t>
      </w:r>
      <w:bookmarkEnd w:id="48"/>
    </w:p>
    <w:p w14:paraId="65AE5CDA" w14:textId="77777777" w:rsidR="00E44B0A" w:rsidRPr="009D0D69" w:rsidRDefault="00E44B0A" w:rsidP="585CE774">
      <w:pPr>
        <w:rPr>
          <w:b/>
          <w:bCs/>
        </w:rPr>
      </w:pPr>
    </w:p>
    <w:p w14:paraId="5AF1B205" w14:textId="096BE6C9" w:rsidR="007F2D79" w:rsidRPr="009D0D69" w:rsidRDefault="007F2D79" w:rsidP="585CE774">
      <w:pPr>
        <w:ind w:left="720"/>
      </w:pPr>
      <w:r>
        <w:t>The Leadership Group pay range for 202</w:t>
      </w:r>
      <w:r w:rsidR="27B82470">
        <w:t>5</w:t>
      </w:r>
      <w:r>
        <w:t xml:space="preserve"> is:</w:t>
      </w:r>
    </w:p>
    <w:p w14:paraId="05475AF6" w14:textId="77777777" w:rsidR="007F2D79" w:rsidRPr="009D0D69" w:rsidRDefault="007F2D79" w:rsidP="585CE774">
      <w:pPr>
        <w:ind w:left="720"/>
      </w:pPr>
    </w:p>
    <w:tbl>
      <w:tblPr>
        <w:tblW w:w="680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985"/>
        <w:gridCol w:w="1275"/>
        <w:gridCol w:w="1843"/>
      </w:tblGrid>
      <w:tr w:rsidR="00DC1CCE" w:rsidRPr="009D0D69" w14:paraId="233E93B1" w14:textId="77777777" w:rsidTr="5BD2FCF6">
        <w:trPr>
          <w:trHeight w:val="645"/>
        </w:trPr>
        <w:tc>
          <w:tcPr>
            <w:tcW w:w="1701" w:type="dxa"/>
          </w:tcPr>
          <w:p w14:paraId="1D794D7C" w14:textId="77777777" w:rsidR="007F2D79" w:rsidRPr="005F24AE" w:rsidRDefault="007F2D79" w:rsidP="585CE774">
            <w:pPr>
              <w:jc w:val="center"/>
              <w:rPr>
                <w:b/>
                <w:bCs/>
                <w:sz w:val="22"/>
                <w:szCs w:val="22"/>
              </w:rPr>
            </w:pPr>
            <w:r w:rsidRPr="005F24AE">
              <w:rPr>
                <w:b/>
                <w:bCs/>
                <w:sz w:val="22"/>
                <w:szCs w:val="22"/>
              </w:rPr>
              <w:t>Point</w:t>
            </w:r>
          </w:p>
        </w:tc>
        <w:tc>
          <w:tcPr>
            <w:tcW w:w="1985" w:type="dxa"/>
          </w:tcPr>
          <w:p w14:paraId="519E57C7" w14:textId="77777777" w:rsidR="007F2D79" w:rsidRPr="005F24AE" w:rsidRDefault="007F2D79" w:rsidP="585CE774">
            <w:pPr>
              <w:jc w:val="center"/>
              <w:rPr>
                <w:b/>
                <w:bCs/>
                <w:sz w:val="22"/>
                <w:szCs w:val="22"/>
              </w:rPr>
            </w:pPr>
            <w:r w:rsidRPr="005F24AE">
              <w:rPr>
                <w:b/>
                <w:bCs/>
                <w:sz w:val="22"/>
                <w:szCs w:val="22"/>
              </w:rPr>
              <w:t>Salary</w:t>
            </w:r>
          </w:p>
        </w:tc>
        <w:tc>
          <w:tcPr>
            <w:tcW w:w="1275" w:type="dxa"/>
          </w:tcPr>
          <w:p w14:paraId="429A3CF1" w14:textId="77777777" w:rsidR="007F2D79" w:rsidRPr="009D0D69" w:rsidRDefault="007F2D79" w:rsidP="585CE774">
            <w:pPr>
              <w:jc w:val="center"/>
              <w:rPr>
                <w:b/>
                <w:bCs/>
                <w:sz w:val="20"/>
              </w:rPr>
            </w:pPr>
            <w:r w:rsidRPr="585CE774">
              <w:rPr>
                <w:b/>
                <w:bCs/>
                <w:sz w:val="20"/>
              </w:rPr>
              <w:t>Point</w:t>
            </w:r>
          </w:p>
          <w:p w14:paraId="3220C69D" w14:textId="77777777" w:rsidR="007F2D79" w:rsidRPr="009D0D69" w:rsidRDefault="007F2D79" w:rsidP="585CE774">
            <w:pPr>
              <w:jc w:val="center"/>
              <w:rPr>
                <w:b/>
                <w:bCs/>
                <w:sz w:val="20"/>
              </w:rPr>
            </w:pPr>
          </w:p>
        </w:tc>
        <w:tc>
          <w:tcPr>
            <w:tcW w:w="1843" w:type="dxa"/>
          </w:tcPr>
          <w:p w14:paraId="2E703F71" w14:textId="77777777" w:rsidR="007F2D79" w:rsidRPr="009D0D69" w:rsidRDefault="007F2D79" w:rsidP="585CE774">
            <w:pPr>
              <w:jc w:val="center"/>
              <w:rPr>
                <w:b/>
                <w:bCs/>
                <w:sz w:val="20"/>
              </w:rPr>
            </w:pPr>
            <w:r w:rsidRPr="585CE774">
              <w:rPr>
                <w:b/>
                <w:bCs/>
                <w:sz w:val="20"/>
              </w:rPr>
              <w:t>Salary</w:t>
            </w:r>
          </w:p>
        </w:tc>
      </w:tr>
      <w:tr w:rsidR="00DC1CCE" w:rsidRPr="009D0D69" w14:paraId="648E1C4D" w14:textId="77777777" w:rsidTr="5BD2FCF6">
        <w:tc>
          <w:tcPr>
            <w:tcW w:w="1701" w:type="dxa"/>
          </w:tcPr>
          <w:p w14:paraId="32B4A546" w14:textId="77777777" w:rsidR="007F2D79" w:rsidRPr="005F24AE" w:rsidRDefault="007F2D79" w:rsidP="585CE774">
            <w:pPr>
              <w:rPr>
                <w:sz w:val="22"/>
                <w:szCs w:val="22"/>
              </w:rPr>
            </w:pPr>
            <w:r w:rsidRPr="5BD2FCF6">
              <w:rPr>
                <w:sz w:val="22"/>
                <w:szCs w:val="22"/>
              </w:rPr>
              <w:t>1</w:t>
            </w:r>
          </w:p>
        </w:tc>
        <w:tc>
          <w:tcPr>
            <w:tcW w:w="1985" w:type="dxa"/>
          </w:tcPr>
          <w:p w14:paraId="57353C34" w14:textId="407D6380" w:rsidR="007F2D79" w:rsidRPr="00964A76" w:rsidRDefault="001B021D" w:rsidP="5BD2FCF6">
            <w:pPr>
              <w:rPr>
                <w:rFonts w:ascii="Ariel" w:eastAsia="Ariel" w:hAnsi="Ariel" w:cs="Ariel"/>
                <w:sz w:val="22"/>
                <w:szCs w:val="22"/>
              </w:rPr>
            </w:pPr>
            <w:r w:rsidRPr="5BD2FCF6">
              <w:rPr>
                <w:rFonts w:ascii="Ariel" w:eastAsia="Ariel" w:hAnsi="Ariel" w:cs="Ariel"/>
                <w:sz w:val="22"/>
                <w:szCs w:val="22"/>
              </w:rPr>
              <w:t>£</w:t>
            </w:r>
            <w:r w:rsidR="7513A5D1" w:rsidRPr="5BD2FCF6">
              <w:rPr>
                <w:rFonts w:ascii="Ariel" w:eastAsia="Ariel" w:hAnsi="Ariel" w:cs="Ariel"/>
                <w:sz w:val="22"/>
                <w:szCs w:val="22"/>
              </w:rPr>
              <w:t>51,773</w:t>
            </w:r>
          </w:p>
        </w:tc>
        <w:tc>
          <w:tcPr>
            <w:tcW w:w="1275" w:type="dxa"/>
          </w:tcPr>
          <w:p w14:paraId="30538590" w14:textId="77777777" w:rsidR="007F2D79" w:rsidRPr="00964A76" w:rsidRDefault="007F2D79" w:rsidP="585CE774">
            <w:pPr>
              <w:rPr>
                <w:sz w:val="22"/>
                <w:szCs w:val="22"/>
              </w:rPr>
            </w:pPr>
            <w:r w:rsidRPr="5BD2FCF6">
              <w:rPr>
                <w:sz w:val="22"/>
                <w:szCs w:val="22"/>
              </w:rPr>
              <w:t>28</w:t>
            </w:r>
          </w:p>
        </w:tc>
        <w:tc>
          <w:tcPr>
            <w:tcW w:w="1843" w:type="dxa"/>
          </w:tcPr>
          <w:p w14:paraId="0F37A3A8" w14:textId="384F7A3A" w:rsidR="007F2D79" w:rsidRPr="00AF6CB2" w:rsidRDefault="001B021D" w:rsidP="5BD2FCF6">
            <w:pPr>
              <w:rPr>
                <w:sz w:val="22"/>
                <w:szCs w:val="22"/>
              </w:rPr>
            </w:pPr>
            <w:r w:rsidRPr="5BD2FCF6">
              <w:rPr>
                <w:b/>
                <w:bCs/>
                <w:sz w:val="22"/>
                <w:szCs w:val="22"/>
              </w:rPr>
              <w:t>£</w:t>
            </w:r>
            <w:r w:rsidR="7CE181D5" w:rsidRPr="5BD2FCF6">
              <w:rPr>
                <w:b/>
                <w:bCs/>
                <w:sz w:val="22"/>
                <w:szCs w:val="22"/>
                <w:shd w:val="clear" w:color="auto" w:fill="FFFFFF"/>
              </w:rPr>
              <w:t>100,540</w:t>
            </w:r>
          </w:p>
        </w:tc>
      </w:tr>
      <w:tr w:rsidR="00DC1CCE" w:rsidRPr="009D0D69" w14:paraId="6417EA5E" w14:textId="77777777" w:rsidTr="5BD2FCF6">
        <w:tc>
          <w:tcPr>
            <w:tcW w:w="1701" w:type="dxa"/>
          </w:tcPr>
          <w:p w14:paraId="3AE09F9F" w14:textId="77777777" w:rsidR="007F2D79" w:rsidRPr="005F24AE" w:rsidRDefault="007F2D79" w:rsidP="585CE774">
            <w:pPr>
              <w:rPr>
                <w:sz w:val="22"/>
                <w:szCs w:val="22"/>
              </w:rPr>
            </w:pPr>
            <w:r w:rsidRPr="5BD2FCF6">
              <w:rPr>
                <w:sz w:val="22"/>
                <w:szCs w:val="22"/>
              </w:rPr>
              <w:t>2</w:t>
            </w:r>
          </w:p>
        </w:tc>
        <w:tc>
          <w:tcPr>
            <w:tcW w:w="1985" w:type="dxa"/>
          </w:tcPr>
          <w:p w14:paraId="565874F2" w14:textId="113E537F" w:rsidR="007F2D79" w:rsidRPr="00964A76" w:rsidRDefault="001B021D" w:rsidP="5BD2FCF6">
            <w:pPr>
              <w:rPr>
                <w:rFonts w:ascii="Ariel" w:eastAsia="Ariel" w:hAnsi="Ariel" w:cs="Ariel"/>
                <w:sz w:val="22"/>
                <w:szCs w:val="22"/>
              </w:rPr>
            </w:pPr>
            <w:r w:rsidRPr="5BD2FCF6">
              <w:rPr>
                <w:rFonts w:ascii="Ariel" w:eastAsia="Ariel" w:hAnsi="Ariel" w:cs="Ariel"/>
                <w:sz w:val="22"/>
                <w:szCs w:val="22"/>
              </w:rPr>
              <w:t>£</w:t>
            </w:r>
            <w:r w:rsidR="4BB99A85" w:rsidRPr="5BD2FCF6">
              <w:rPr>
                <w:rFonts w:ascii="Ariel" w:eastAsia="Ariel" w:hAnsi="Ariel" w:cs="Ariel"/>
                <w:color w:val="000000" w:themeColor="text1"/>
                <w:sz w:val="22"/>
                <w:szCs w:val="22"/>
              </w:rPr>
              <w:t>53,069</w:t>
            </w:r>
          </w:p>
        </w:tc>
        <w:tc>
          <w:tcPr>
            <w:tcW w:w="1275" w:type="dxa"/>
          </w:tcPr>
          <w:p w14:paraId="1A8B4E1E" w14:textId="77777777" w:rsidR="007F2D79" w:rsidRPr="00964A76" w:rsidRDefault="007F2D79" w:rsidP="585CE774">
            <w:pPr>
              <w:rPr>
                <w:sz w:val="22"/>
                <w:szCs w:val="22"/>
              </w:rPr>
            </w:pPr>
            <w:r w:rsidRPr="5BD2FCF6">
              <w:rPr>
                <w:sz w:val="22"/>
                <w:szCs w:val="22"/>
              </w:rPr>
              <w:t>29</w:t>
            </w:r>
          </w:p>
        </w:tc>
        <w:tc>
          <w:tcPr>
            <w:tcW w:w="1843" w:type="dxa"/>
          </w:tcPr>
          <w:p w14:paraId="6D40A572" w14:textId="22A15795" w:rsidR="007F2D79" w:rsidRPr="005F24AE" w:rsidRDefault="001B021D" w:rsidP="5BD2FCF6">
            <w:pPr>
              <w:rPr>
                <w:rFonts w:ascii="Ariel" w:eastAsia="Ariel" w:hAnsi="Ariel" w:cs="Ariel"/>
                <w:sz w:val="22"/>
                <w:szCs w:val="22"/>
              </w:rPr>
            </w:pPr>
            <w:r w:rsidRPr="5BD2FCF6">
              <w:rPr>
                <w:rFonts w:ascii="Ariel" w:eastAsia="Ariel" w:hAnsi="Ariel" w:cs="Ariel"/>
                <w:sz w:val="22"/>
                <w:szCs w:val="22"/>
              </w:rPr>
              <w:t>£</w:t>
            </w:r>
            <w:r w:rsidR="7D478618" w:rsidRPr="5BD2FCF6">
              <w:rPr>
                <w:rFonts w:ascii="Ariel" w:eastAsia="Ariel" w:hAnsi="Ariel" w:cs="Ariel"/>
                <w:color w:val="000000" w:themeColor="text1"/>
                <w:sz w:val="22"/>
                <w:szCs w:val="22"/>
              </w:rPr>
              <w:t>103,030</w:t>
            </w:r>
          </w:p>
        </w:tc>
      </w:tr>
      <w:tr w:rsidR="00DC1CCE" w:rsidRPr="009D0D69" w14:paraId="3883444A" w14:textId="77777777" w:rsidTr="5BD2FCF6">
        <w:tc>
          <w:tcPr>
            <w:tcW w:w="1701" w:type="dxa"/>
          </w:tcPr>
          <w:p w14:paraId="0486FDFB" w14:textId="77777777" w:rsidR="007F2D79" w:rsidRPr="005F24AE" w:rsidRDefault="007F2D79" w:rsidP="585CE774">
            <w:pPr>
              <w:rPr>
                <w:sz w:val="22"/>
                <w:szCs w:val="22"/>
              </w:rPr>
            </w:pPr>
            <w:r w:rsidRPr="5BD2FCF6">
              <w:rPr>
                <w:sz w:val="22"/>
                <w:szCs w:val="22"/>
              </w:rPr>
              <w:t>3</w:t>
            </w:r>
          </w:p>
        </w:tc>
        <w:tc>
          <w:tcPr>
            <w:tcW w:w="1985" w:type="dxa"/>
          </w:tcPr>
          <w:p w14:paraId="49CA33E4" w14:textId="527BC112" w:rsidR="007F2D79" w:rsidRPr="00964A76" w:rsidRDefault="001B021D" w:rsidP="5BD2FCF6">
            <w:pPr>
              <w:rPr>
                <w:rFonts w:ascii="Ariel" w:eastAsia="Ariel" w:hAnsi="Ariel" w:cs="Ariel"/>
                <w:sz w:val="22"/>
                <w:szCs w:val="22"/>
              </w:rPr>
            </w:pPr>
            <w:r w:rsidRPr="5BD2FCF6">
              <w:rPr>
                <w:rFonts w:ascii="Ariel" w:eastAsia="Ariel" w:hAnsi="Ariel" w:cs="Ariel"/>
                <w:sz w:val="22"/>
                <w:szCs w:val="22"/>
              </w:rPr>
              <w:t>£</w:t>
            </w:r>
            <w:r w:rsidR="75BB9A7C" w:rsidRPr="5BD2FCF6">
              <w:rPr>
                <w:rFonts w:ascii="Ariel" w:eastAsia="Ariel" w:hAnsi="Ariel" w:cs="Ariel"/>
                <w:color w:val="000000" w:themeColor="text1"/>
                <w:sz w:val="22"/>
                <w:szCs w:val="22"/>
              </w:rPr>
              <w:t>54,394</w:t>
            </w:r>
          </w:p>
        </w:tc>
        <w:tc>
          <w:tcPr>
            <w:tcW w:w="1275" w:type="dxa"/>
          </w:tcPr>
          <w:p w14:paraId="6D358406" w14:textId="77777777" w:rsidR="007F2D79" w:rsidRPr="00964A76" w:rsidRDefault="007F2D79" w:rsidP="585CE774">
            <w:pPr>
              <w:rPr>
                <w:sz w:val="22"/>
                <w:szCs w:val="22"/>
              </w:rPr>
            </w:pPr>
            <w:r w:rsidRPr="5BD2FCF6">
              <w:rPr>
                <w:sz w:val="22"/>
                <w:szCs w:val="22"/>
              </w:rPr>
              <w:t>30</w:t>
            </w:r>
          </w:p>
        </w:tc>
        <w:tc>
          <w:tcPr>
            <w:tcW w:w="1843" w:type="dxa"/>
          </w:tcPr>
          <w:p w14:paraId="3916BDFC" w14:textId="716E01A3" w:rsidR="007F2D79" w:rsidRPr="005F24AE" w:rsidRDefault="001B021D" w:rsidP="5BD2FCF6">
            <w:pPr>
              <w:rPr>
                <w:rFonts w:ascii="Ariel" w:eastAsia="Ariel" w:hAnsi="Ariel" w:cs="Ariel"/>
                <w:sz w:val="22"/>
                <w:szCs w:val="22"/>
              </w:rPr>
            </w:pPr>
            <w:r w:rsidRPr="5BD2FCF6">
              <w:rPr>
                <w:rFonts w:ascii="Ariel" w:eastAsia="Ariel" w:hAnsi="Ariel" w:cs="Ariel"/>
                <w:sz w:val="22"/>
                <w:szCs w:val="22"/>
              </w:rPr>
              <w:t>£</w:t>
            </w:r>
            <w:r w:rsidR="05140C7F" w:rsidRPr="5BD2FCF6">
              <w:rPr>
                <w:rFonts w:ascii="Ariel" w:eastAsia="Ariel" w:hAnsi="Ariel" w:cs="Ariel"/>
                <w:color w:val="000000" w:themeColor="text1"/>
                <w:sz w:val="22"/>
                <w:szCs w:val="22"/>
              </w:rPr>
              <w:t>105,595</w:t>
            </w:r>
          </w:p>
        </w:tc>
      </w:tr>
      <w:tr w:rsidR="00DC1CCE" w:rsidRPr="009D0D69" w14:paraId="25AF9848" w14:textId="77777777" w:rsidTr="5BD2FCF6">
        <w:tc>
          <w:tcPr>
            <w:tcW w:w="1701" w:type="dxa"/>
          </w:tcPr>
          <w:p w14:paraId="1EDF9943" w14:textId="77777777" w:rsidR="007F2D79" w:rsidRPr="005F24AE" w:rsidRDefault="007F2D79" w:rsidP="585CE774">
            <w:pPr>
              <w:rPr>
                <w:sz w:val="22"/>
                <w:szCs w:val="22"/>
              </w:rPr>
            </w:pPr>
            <w:r w:rsidRPr="5BD2FCF6">
              <w:rPr>
                <w:sz w:val="22"/>
                <w:szCs w:val="22"/>
              </w:rPr>
              <w:t>4</w:t>
            </w:r>
          </w:p>
        </w:tc>
        <w:tc>
          <w:tcPr>
            <w:tcW w:w="1985" w:type="dxa"/>
          </w:tcPr>
          <w:p w14:paraId="030752AB" w14:textId="15FABAFC" w:rsidR="007F2D79" w:rsidRPr="005F24AE" w:rsidRDefault="001B021D" w:rsidP="5BD2FCF6">
            <w:pPr>
              <w:rPr>
                <w:rFonts w:ascii="Ariel" w:eastAsia="Ariel" w:hAnsi="Ariel" w:cs="Ariel"/>
                <w:sz w:val="22"/>
                <w:szCs w:val="22"/>
              </w:rPr>
            </w:pPr>
            <w:r w:rsidRPr="5BD2FCF6">
              <w:rPr>
                <w:rFonts w:ascii="Ariel" w:eastAsia="Ariel" w:hAnsi="Ariel" w:cs="Ariel"/>
                <w:sz w:val="22"/>
                <w:szCs w:val="22"/>
              </w:rPr>
              <w:t>£</w:t>
            </w:r>
            <w:r w:rsidR="2CA3CE04" w:rsidRPr="5BD2FCF6">
              <w:rPr>
                <w:rFonts w:ascii="Ariel" w:eastAsia="Ariel" w:hAnsi="Ariel" w:cs="Ariel"/>
                <w:color w:val="000000" w:themeColor="text1"/>
                <w:sz w:val="22"/>
                <w:szCs w:val="22"/>
              </w:rPr>
              <w:t>55,747</w:t>
            </w:r>
          </w:p>
        </w:tc>
        <w:tc>
          <w:tcPr>
            <w:tcW w:w="1275" w:type="dxa"/>
          </w:tcPr>
          <w:p w14:paraId="4AFB2DDB" w14:textId="77777777" w:rsidR="007F2D79" w:rsidRPr="0016528C" w:rsidRDefault="007F2D79" w:rsidP="585CE774">
            <w:pPr>
              <w:rPr>
                <w:b/>
                <w:bCs/>
                <w:sz w:val="22"/>
                <w:szCs w:val="22"/>
              </w:rPr>
            </w:pPr>
            <w:r w:rsidRPr="5BD2FCF6">
              <w:rPr>
                <w:b/>
                <w:bCs/>
                <w:sz w:val="22"/>
                <w:szCs w:val="22"/>
              </w:rPr>
              <w:t>31*</w:t>
            </w:r>
          </w:p>
        </w:tc>
        <w:tc>
          <w:tcPr>
            <w:tcW w:w="1843" w:type="dxa"/>
          </w:tcPr>
          <w:p w14:paraId="211B0C32" w14:textId="7255EB62" w:rsidR="007F2D79" w:rsidRPr="005F24AE" w:rsidRDefault="001B021D" w:rsidP="5BD2FCF6">
            <w:pPr>
              <w:rPr>
                <w:rFonts w:ascii="Ariel" w:eastAsia="Ariel" w:hAnsi="Ariel" w:cs="Ariel"/>
                <w:sz w:val="22"/>
                <w:szCs w:val="22"/>
              </w:rPr>
            </w:pPr>
            <w:r w:rsidRPr="5BD2FCF6">
              <w:rPr>
                <w:rFonts w:ascii="Ariel" w:eastAsia="Ariel" w:hAnsi="Ariel" w:cs="Ariel"/>
                <w:b/>
                <w:bCs/>
                <w:sz w:val="22"/>
                <w:szCs w:val="22"/>
              </w:rPr>
              <w:t>£</w:t>
            </w:r>
            <w:r w:rsidR="15EC30EA" w:rsidRPr="5BD2FCF6">
              <w:rPr>
                <w:rFonts w:ascii="Ariel" w:eastAsia="Ariel" w:hAnsi="Ariel" w:cs="Ariel"/>
                <w:b/>
                <w:bCs/>
                <w:color w:val="000000" w:themeColor="text1"/>
                <w:sz w:val="22"/>
                <w:szCs w:val="22"/>
              </w:rPr>
              <w:t>107,131</w:t>
            </w:r>
          </w:p>
        </w:tc>
      </w:tr>
      <w:tr w:rsidR="00DC1CCE" w:rsidRPr="009D0D69" w14:paraId="3F17A29F" w14:textId="77777777" w:rsidTr="5BD2FCF6">
        <w:tc>
          <w:tcPr>
            <w:tcW w:w="1701" w:type="dxa"/>
          </w:tcPr>
          <w:p w14:paraId="5C71CBE2" w14:textId="77777777" w:rsidR="007F2D79" w:rsidRPr="005F24AE" w:rsidRDefault="007F2D79" w:rsidP="585CE774">
            <w:pPr>
              <w:rPr>
                <w:sz w:val="22"/>
                <w:szCs w:val="22"/>
              </w:rPr>
            </w:pPr>
            <w:r w:rsidRPr="5BD2FCF6">
              <w:rPr>
                <w:sz w:val="22"/>
                <w:szCs w:val="22"/>
              </w:rPr>
              <w:t>5</w:t>
            </w:r>
          </w:p>
        </w:tc>
        <w:tc>
          <w:tcPr>
            <w:tcW w:w="1985" w:type="dxa"/>
          </w:tcPr>
          <w:p w14:paraId="14A7931E" w14:textId="12502C51" w:rsidR="007F2D79" w:rsidRPr="00964A76" w:rsidRDefault="001B021D" w:rsidP="5BD2FCF6">
            <w:pPr>
              <w:rPr>
                <w:rFonts w:ascii="Ariel" w:eastAsia="Ariel" w:hAnsi="Ariel" w:cs="Ariel"/>
                <w:sz w:val="22"/>
                <w:szCs w:val="22"/>
              </w:rPr>
            </w:pPr>
            <w:r w:rsidRPr="5BD2FCF6">
              <w:rPr>
                <w:rFonts w:ascii="Ariel" w:eastAsia="Ariel" w:hAnsi="Ariel" w:cs="Ariel"/>
                <w:sz w:val="22"/>
                <w:szCs w:val="22"/>
              </w:rPr>
              <w:t>£</w:t>
            </w:r>
            <w:r w:rsidR="4EAC43DE" w:rsidRPr="5BD2FCF6">
              <w:rPr>
                <w:rFonts w:ascii="Ariel" w:eastAsia="Ariel" w:hAnsi="Ariel" w:cs="Ariel"/>
                <w:color w:val="000000" w:themeColor="text1"/>
                <w:sz w:val="22"/>
                <w:szCs w:val="22"/>
              </w:rPr>
              <w:t>57,137</w:t>
            </w:r>
          </w:p>
        </w:tc>
        <w:tc>
          <w:tcPr>
            <w:tcW w:w="1275" w:type="dxa"/>
          </w:tcPr>
          <w:p w14:paraId="7BC39C98" w14:textId="77777777" w:rsidR="007F2D79" w:rsidRPr="00964A76" w:rsidRDefault="007F2D79" w:rsidP="585CE774">
            <w:pPr>
              <w:rPr>
                <w:sz w:val="22"/>
                <w:szCs w:val="22"/>
              </w:rPr>
            </w:pPr>
            <w:r w:rsidRPr="5BD2FCF6">
              <w:rPr>
                <w:sz w:val="22"/>
                <w:szCs w:val="22"/>
              </w:rPr>
              <w:t>31</w:t>
            </w:r>
          </w:p>
        </w:tc>
        <w:tc>
          <w:tcPr>
            <w:tcW w:w="1843" w:type="dxa"/>
          </w:tcPr>
          <w:p w14:paraId="1A5B63FD" w14:textId="38A4F573" w:rsidR="007F2D79" w:rsidRPr="005F24AE" w:rsidRDefault="001B021D" w:rsidP="5BD2FCF6">
            <w:pPr>
              <w:rPr>
                <w:rFonts w:ascii="Ariel" w:eastAsia="Ariel" w:hAnsi="Ariel" w:cs="Ariel"/>
                <w:sz w:val="22"/>
                <w:szCs w:val="22"/>
              </w:rPr>
            </w:pPr>
            <w:r w:rsidRPr="5BD2FCF6">
              <w:rPr>
                <w:rFonts w:ascii="Ariel" w:eastAsia="Ariel" w:hAnsi="Ariel" w:cs="Ariel"/>
                <w:sz w:val="22"/>
                <w:szCs w:val="22"/>
              </w:rPr>
              <w:t>£</w:t>
            </w:r>
            <w:r w:rsidR="0E2478F9" w:rsidRPr="5BD2FCF6">
              <w:rPr>
                <w:rFonts w:ascii="Ariel" w:eastAsia="Ariel" w:hAnsi="Ariel" w:cs="Ariel"/>
                <w:color w:val="000000" w:themeColor="text1"/>
                <w:sz w:val="22"/>
                <w:szCs w:val="22"/>
              </w:rPr>
              <w:t>108,202</w:t>
            </w:r>
          </w:p>
        </w:tc>
      </w:tr>
      <w:tr w:rsidR="00DC1CCE" w:rsidRPr="009D0D69" w14:paraId="5158B0E1" w14:textId="77777777" w:rsidTr="5BD2FCF6">
        <w:tc>
          <w:tcPr>
            <w:tcW w:w="1701" w:type="dxa"/>
          </w:tcPr>
          <w:p w14:paraId="08C69312" w14:textId="77777777" w:rsidR="007F2D79" w:rsidRPr="005F24AE" w:rsidRDefault="007F2D79" w:rsidP="585CE774">
            <w:pPr>
              <w:rPr>
                <w:sz w:val="22"/>
                <w:szCs w:val="22"/>
              </w:rPr>
            </w:pPr>
            <w:r w:rsidRPr="5BD2FCF6">
              <w:rPr>
                <w:sz w:val="22"/>
                <w:szCs w:val="22"/>
              </w:rPr>
              <w:t>6</w:t>
            </w:r>
          </w:p>
        </w:tc>
        <w:tc>
          <w:tcPr>
            <w:tcW w:w="1985" w:type="dxa"/>
          </w:tcPr>
          <w:p w14:paraId="4504BCD5" w14:textId="5C722BEE" w:rsidR="007F2D79" w:rsidRPr="00964A76" w:rsidRDefault="001B021D" w:rsidP="5BD2FCF6">
            <w:pPr>
              <w:rPr>
                <w:sz w:val="22"/>
                <w:szCs w:val="22"/>
              </w:rPr>
            </w:pPr>
            <w:r w:rsidRPr="5BD2FCF6">
              <w:rPr>
                <w:b/>
                <w:bCs/>
                <w:sz w:val="22"/>
                <w:szCs w:val="22"/>
              </w:rPr>
              <w:t>£</w:t>
            </w:r>
            <w:r w:rsidR="7044AEDD" w:rsidRPr="5BD2FCF6">
              <w:rPr>
                <w:b/>
                <w:bCs/>
                <w:sz w:val="22"/>
                <w:szCs w:val="22"/>
                <w:shd w:val="clear" w:color="auto" w:fill="FFFFFF"/>
              </w:rPr>
              <w:t>5</w:t>
            </w:r>
            <w:r w:rsidR="5BAF9522" w:rsidRPr="5BD2FCF6">
              <w:rPr>
                <w:b/>
                <w:bCs/>
                <w:sz w:val="22"/>
                <w:szCs w:val="22"/>
                <w:shd w:val="clear" w:color="auto" w:fill="FFFFFF"/>
              </w:rPr>
              <w:t>8,569</w:t>
            </w:r>
          </w:p>
        </w:tc>
        <w:tc>
          <w:tcPr>
            <w:tcW w:w="1275" w:type="dxa"/>
          </w:tcPr>
          <w:p w14:paraId="61CD000F" w14:textId="77777777" w:rsidR="007F2D79" w:rsidRPr="00964A76" w:rsidRDefault="007F2D79" w:rsidP="585CE774">
            <w:pPr>
              <w:rPr>
                <w:sz w:val="22"/>
                <w:szCs w:val="22"/>
              </w:rPr>
            </w:pPr>
            <w:r w:rsidRPr="5BD2FCF6">
              <w:rPr>
                <w:sz w:val="22"/>
                <w:szCs w:val="22"/>
              </w:rPr>
              <w:t>32</w:t>
            </w:r>
          </w:p>
        </w:tc>
        <w:tc>
          <w:tcPr>
            <w:tcW w:w="1843" w:type="dxa"/>
          </w:tcPr>
          <w:p w14:paraId="108820A2" w14:textId="24A6005E" w:rsidR="007F2D79" w:rsidRPr="005F24AE" w:rsidRDefault="001B021D" w:rsidP="5BD2FCF6">
            <w:pPr>
              <w:rPr>
                <w:rFonts w:ascii="Ariel" w:eastAsia="Ariel" w:hAnsi="Ariel" w:cs="Ariel"/>
                <w:sz w:val="22"/>
                <w:szCs w:val="22"/>
              </w:rPr>
            </w:pPr>
            <w:r w:rsidRPr="5BD2FCF6">
              <w:rPr>
                <w:rFonts w:ascii="Ariel" w:eastAsia="Ariel" w:hAnsi="Ariel" w:cs="Ariel"/>
                <w:sz w:val="22"/>
                <w:szCs w:val="22"/>
              </w:rPr>
              <w:t>£</w:t>
            </w:r>
            <w:r w:rsidR="59055D9B" w:rsidRPr="5BD2FCF6">
              <w:rPr>
                <w:rFonts w:ascii="Ariel" w:eastAsia="Ariel" w:hAnsi="Ariel" w:cs="Ariel"/>
                <w:color w:val="000000" w:themeColor="text1"/>
                <w:sz w:val="22"/>
                <w:szCs w:val="22"/>
              </w:rPr>
              <w:t>110,892</w:t>
            </w:r>
          </w:p>
        </w:tc>
      </w:tr>
      <w:tr w:rsidR="00DC1CCE" w:rsidRPr="009D0D69" w14:paraId="170D2F9D" w14:textId="77777777" w:rsidTr="5BD2FCF6">
        <w:tc>
          <w:tcPr>
            <w:tcW w:w="1701" w:type="dxa"/>
          </w:tcPr>
          <w:p w14:paraId="52869342" w14:textId="77777777" w:rsidR="007F2D79" w:rsidRPr="005F24AE" w:rsidRDefault="007F2D79" w:rsidP="585CE774">
            <w:pPr>
              <w:rPr>
                <w:sz w:val="22"/>
                <w:szCs w:val="22"/>
              </w:rPr>
            </w:pPr>
            <w:r w:rsidRPr="5BD2FCF6">
              <w:rPr>
                <w:sz w:val="22"/>
                <w:szCs w:val="22"/>
              </w:rPr>
              <w:t>7</w:t>
            </w:r>
          </w:p>
        </w:tc>
        <w:tc>
          <w:tcPr>
            <w:tcW w:w="1985" w:type="dxa"/>
          </w:tcPr>
          <w:p w14:paraId="0FCC3DEB" w14:textId="5A769DF7" w:rsidR="007F2D79" w:rsidRPr="00964A76" w:rsidRDefault="001B021D" w:rsidP="5BD2FCF6">
            <w:pPr>
              <w:rPr>
                <w:rFonts w:ascii="Ariel" w:eastAsia="Ariel" w:hAnsi="Ariel" w:cs="Ariel"/>
                <w:sz w:val="22"/>
                <w:szCs w:val="22"/>
              </w:rPr>
            </w:pPr>
            <w:r w:rsidRPr="5BD2FCF6">
              <w:rPr>
                <w:sz w:val="22"/>
                <w:szCs w:val="22"/>
              </w:rPr>
              <w:t>£</w:t>
            </w:r>
            <w:r w:rsidR="40039CD3" w:rsidRPr="5BD2FCF6">
              <w:rPr>
                <w:rFonts w:ascii="Times New Roman" w:hAnsi="Times New Roman" w:cs="Times New Roman"/>
                <w:color w:val="000000" w:themeColor="text1"/>
              </w:rPr>
              <w:t>60,145</w:t>
            </w:r>
          </w:p>
        </w:tc>
        <w:tc>
          <w:tcPr>
            <w:tcW w:w="1275" w:type="dxa"/>
          </w:tcPr>
          <w:p w14:paraId="29702C46" w14:textId="77777777" w:rsidR="007F2D79" w:rsidRPr="00964A76" w:rsidRDefault="007F2D79" w:rsidP="585CE774">
            <w:pPr>
              <w:rPr>
                <w:sz w:val="22"/>
                <w:szCs w:val="22"/>
              </w:rPr>
            </w:pPr>
            <w:r w:rsidRPr="5BD2FCF6">
              <w:rPr>
                <w:sz w:val="22"/>
                <w:szCs w:val="22"/>
              </w:rPr>
              <w:t>33</w:t>
            </w:r>
          </w:p>
        </w:tc>
        <w:tc>
          <w:tcPr>
            <w:tcW w:w="1843" w:type="dxa"/>
          </w:tcPr>
          <w:p w14:paraId="4F5F5358" w14:textId="41CCADA9" w:rsidR="007F2D79" w:rsidRPr="0023143E" w:rsidRDefault="001B021D" w:rsidP="5BD2FCF6">
            <w:pPr>
              <w:rPr>
                <w:rFonts w:ascii="Ariel" w:eastAsia="Ariel" w:hAnsi="Ariel" w:cs="Ariel"/>
                <w:sz w:val="22"/>
                <w:szCs w:val="22"/>
              </w:rPr>
            </w:pPr>
            <w:r w:rsidRPr="5BD2FCF6">
              <w:rPr>
                <w:rFonts w:ascii="Ariel" w:eastAsia="Ariel" w:hAnsi="Ariel" w:cs="Ariel"/>
                <w:sz w:val="22"/>
                <w:szCs w:val="22"/>
              </w:rPr>
              <w:t>£</w:t>
            </w:r>
            <w:r w:rsidR="511FB55D" w:rsidRPr="5BD2FCF6">
              <w:rPr>
                <w:rFonts w:ascii="Ariel" w:eastAsia="Ariel" w:hAnsi="Ariel" w:cs="Ariel"/>
                <w:color w:val="000000" w:themeColor="text1"/>
                <w:sz w:val="22"/>
                <w:szCs w:val="22"/>
              </w:rPr>
              <w:t>113,646</w:t>
            </w:r>
          </w:p>
        </w:tc>
      </w:tr>
      <w:tr w:rsidR="00DC1CCE" w:rsidRPr="009D0D69" w14:paraId="07FE6408" w14:textId="77777777" w:rsidTr="5BD2FCF6">
        <w:tc>
          <w:tcPr>
            <w:tcW w:w="1701" w:type="dxa"/>
          </w:tcPr>
          <w:p w14:paraId="6FE848F0" w14:textId="77777777" w:rsidR="007F2D79" w:rsidRPr="005F24AE" w:rsidRDefault="007F2D79" w:rsidP="585CE774">
            <w:pPr>
              <w:rPr>
                <w:sz w:val="22"/>
                <w:szCs w:val="22"/>
              </w:rPr>
            </w:pPr>
            <w:r w:rsidRPr="5BD2FCF6">
              <w:rPr>
                <w:sz w:val="22"/>
                <w:szCs w:val="22"/>
              </w:rPr>
              <w:t>8</w:t>
            </w:r>
          </w:p>
        </w:tc>
        <w:tc>
          <w:tcPr>
            <w:tcW w:w="1985" w:type="dxa"/>
          </w:tcPr>
          <w:p w14:paraId="3D431427" w14:textId="7FB914F3" w:rsidR="007F2D79" w:rsidRPr="00964A76" w:rsidRDefault="001B021D" w:rsidP="5BD2FCF6">
            <w:pPr>
              <w:rPr>
                <w:b/>
                <w:bCs/>
                <w:sz w:val="22"/>
                <w:szCs w:val="22"/>
              </w:rPr>
            </w:pPr>
            <w:r w:rsidRPr="5BD2FCF6">
              <w:rPr>
                <w:b/>
                <w:bCs/>
                <w:sz w:val="22"/>
                <w:szCs w:val="22"/>
              </w:rPr>
              <w:t>£</w:t>
            </w:r>
            <w:r w:rsidR="0AC60E8E" w:rsidRPr="5BD2FCF6">
              <w:rPr>
                <w:b/>
                <w:bCs/>
                <w:sz w:val="22"/>
                <w:szCs w:val="22"/>
              </w:rPr>
              <w:t>61,534</w:t>
            </w:r>
          </w:p>
        </w:tc>
        <w:tc>
          <w:tcPr>
            <w:tcW w:w="1275" w:type="dxa"/>
            <w:tcBorders>
              <w:bottom w:val="single" w:sz="4" w:space="0" w:color="auto"/>
            </w:tcBorders>
          </w:tcPr>
          <w:p w14:paraId="5168E479" w14:textId="77777777" w:rsidR="007F2D79" w:rsidRPr="00964A76" w:rsidRDefault="007F2D79" w:rsidP="585CE774">
            <w:pPr>
              <w:rPr>
                <w:sz w:val="22"/>
                <w:szCs w:val="22"/>
              </w:rPr>
            </w:pPr>
            <w:r w:rsidRPr="5BD2FCF6">
              <w:rPr>
                <w:sz w:val="22"/>
                <w:szCs w:val="22"/>
              </w:rPr>
              <w:t>34</w:t>
            </w:r>
          </w:p>
        </w:tc>
        <w:tc>
          <w:tcPr>
            <w:tcW w:w="1843" w:type="dxa"/>
            <w:tcBorders>
              <w:bottom w:val="single" w:sz="4" w:space="0" w:color="auto"/>
            </w:tcBorders>
          </w:tcPr>
          <w:p w14:paraId="4011DAA9" w14:textId="6C8843F7" w:rsidR="007F2D79" w:rsidRPr="0023143E" w:rsidRDefault="001B021D" w:rsidP="5BD2FCF6">
            <w:pPr>
              <w:rPr>
                <w:rFonts w:ascii="Ariel" w:eastAsia="Ariel" w:hAnsi="Ariel" w:cs="Ariel"/>
                <w:sz w:val="22"/>
                <w:szCs w:val="22"/>
              </w:rPr>
            </w:pPr>
            <w:r w:rsidRPr="5BD2FCF6">
              <w:rPr>
                <w:rFonts w:ascii="Ariel" w:eastAsia="Ariel" w:hAnsi="Ariel" w:cs="Ariel"/>
                <w:sz w:val="22"/>
                <w:szCs w:val="22"/>
              </w:rPr>
              <w:t>£</w:t>
            </w:r>
            <w:r w:rsidR="439EB8D9" w:rsidRPr="5BD2FCF6">
              <w:rPr>
                <w:rFonts w:ascii="Ariel" w:eastAsia="Ariel" w:hAnsi="Ariel" w:cs="Ariel"/>
                <w:color w:val="000000" w:themeColor="text1"/>
                <w:sz w:val="22"/>
                <w:szCs w:val="22"/>
              </w:rPr>
              <w:t>116,456</w:t>
            </w:r>
          </w:p>
        </w:tc>
      </w:tr>
      <w:tr w:rsidR="00DC1CCE" w:rsidRPr="009D0D69" w14:paraId="2222E991" w14:textId="77777777" w:rsidTr="5BD2FCF6">
        <w:tc>
          <w:tcPr>
            <w:tcW w:w="1701" w:type="dxa"/>
          </w:tcPr>
          <w:p w14:paraId="45504A31" w14:textId="77777777" w:rsidR="007F2D79" w:rsidRPr="005F24AE" w:rsidRDefault="007F2D79" w:rsidP="585CE774">
            <w:pPr>
              <w:rPr>
                <w:sz w:val="22"/>
                <w:szCs w:val="22"/>
              </w:rPr>
            </w:pPr>
            <w:r w:rsidRPr="5BD2FCF6">
              <w:rPr>
                <w:sz w:val="22"/>
                <w:szCs w:val="22"/>
              </w:rPr>
              <w:t>9</w:t>
            </w:r>
          </w:p>
        </w:tc>
        <w:tc>
          <w:tcPr>
            <w:tcW w:w="1985" w:type="dxa"/>
            <w:tcBorders>
              <w:bottom w:val="single" w:sz="4" w:space="0" w:color="auto"/>
            </w:tcBorders>
          </w:tcPr>
          <w:p w14:paraId="343B17FD" w14:textId="5DE180EC" w:rsidR="007F2D79" w:rsidRPr="00964A76" w:rsidRDefault="001B021D" w:rsidP="5BD2FCF6">
            <w:pPr>
              <w:rPr>
                <w:rFonts w:eastAsia="Arial"/>
                <w:sz w:val="22"/>
                <w:szCs w:val="22"/>
              </w:rPr>
            </w:pPr>
            <w:r w:rsidRPr="5BD2FCF6">
              <w:rPr>
                <w:sz w:val="22"/>
                <w:szCs w:val="22"/>
              </w:rPr>
              <w:t>£</w:t>
            </w:r>
            <w:r w:rsidR="2308348B" w:rsidRPr="5BD2FCF6">
              <w:rPr>
                <w:rFonts w:ascii="Times New Roman" w:hAnsi="Times New Roman" w:cs="Times New Roman"/>
                <w:color w:val="000000" w:themeColor="text1"/>
              </w:rPr>
              <w:t>63,070</w:t>
            </w:r>
          </w:p>
        </w:tc>
        <w:tc>
          <w:tcPr>
            <w:tcW w:w="1275" w:type="dxa"/>
            <w:tcBorders>
              <w:bottom w:val="single" w:sz="4" w:space="0" w:color="auto"/>
            </w:tcBorders>
          </w:tcPr>
          <w:p w14:paraId="5A1404BF" w14:textId="77777777" w:rsidR="007F2D79" w:rsidRPr="00964A76" w:rsidRDefault="007F2D79" w:rsidP="585CE774">
            <w:pPr>
              <w:rPr>
                <w:b/>
                <w:bCs/>
                <w:sz w:val="22"/>
                <w:szCs w:val="22"/>
              </w:rPr>
            </w:pPr>
            <w:r w:rsidRPr="5BD2FCF6">
              <w:rPr>
                <w:b/>
                <w:bCs/>
                <w:sz w:val="22"/>
                <w:szCs w:val="22"/>
              </w:rPr>
              <w:t>35*</w:t>
            </w:r>
          </w:p>
        </w:tc>
        <w:tc>
          <w:tcPr>
            <w:tcW w:w="1843" w:type="dxa"/>
            <w:tcBorders>
              <w:bottom w:val="single" w:sz="4" w:space="0" w:color="auto"/>
            </w:tcBorders>
          </w:tcPr>
          <w:p w14:paraId="4D070A4C" w14:textId="15AD07D3" w:rsidR="007F2D79" w:rsidRPr="0023143E" w:rsidRDefault="001B021D" w:rsidP="5BD2FCF6">
            <w:pPr>
              <w:rPr>
                <w:rFonts w:ascii="Ariel" w:eastAsia="Ariel" w:hAnsi="Ariel" w:cs="Ariel"/>
                <w:sz w:val="22"/>
                <w:szCs w:val="22"/>
              </w:rPr>
            </w:pPr>
            <w:r w:rsidRPr="5BD2FCF6">
              <w:rPr>
                <w:rFonts w:ascii="Ariel" w:eastAsia="Ariel" w:hAnsi="Ariel" w:cs="Ariel"/>
                <w:b/>
                <w:bCs/>
                <w:sz w:val="22"/>
                <w:szCs w:val="22"/>
              </w:rPr>
              <w:t>£</w:t>
            </w:r>
            <w:r w:rsidR="2B31919B" w:rsidRPr="5BD2FCF6">
              <w:rPr>
                <w:rFonts w:ascii="Ariel" w:eastAsia="Ariel" w:hAnsi="Ariel" w:cs="Ariel"/>
                <w:b/>
                <w:bCs/>
                <w:color w:val="000000" w:themeColor="text1"/>
                <w:sz w:val="22"/>
                <w:szCs w:val="22"/>
              </w:rPr>
              <w:t>118,169</w:t>
            </w:r>
          </w:p>
        </w:tc>
      </w:tr>
      <w:tr w:rsidR="00DC1CCE" w:rsidRPr="009D0D69" w14:paraId="54D76EB5" w14:textId="77777777" w:rsidTr="5BD2FCF6">
        <w:tc>
          <w:tcPr>
            <w:tcW w:w="1701" w:type="dxa"/>
          </w:tcPr>
          <w:p w14:paraId="30671EFE" w14:textId="77777777" w:rsidR="007F2D79" w:rsidRPr="005F24AE" w:rsidRDefault="007F2D79" w:rsidP="585CE774">
            <w:pPr>
              <w:rPr>
                <w:sz w:val="22"/>
                <w:szCs w:val="22"/>
              </w:rPr>
            </w:pPr>
            <w:r w:rsidRPr="5BD2FCF6">
              <w:rPr>
                <w:sz w:val="22"/>
                <w:szCs w:val="22"/>
              </w:rPr>
              <w:t>10</w:t>
            </w:r>
          </w:p>
        </w:tc>
        <w:tc>
          <w:tcPr>
            <w:tcW w:w="1985" w:type="dxa"/>
            <w:tcBorders>
              <w:right w:val="single" w:sz="4" w:space="0" w:color="auto"/>
            </w:tcBorders>
          </w:tcPr>
          <w:p w14:paraId="7F1CBC67" w14:textId="1043750E" w:rsidR="007F2D79" w:rsidRPr="00964A76" w:rsidRDefault="001B021D" w:rsidP="5BD2FCF6">
            <w:pPr>
              <w:rPr>
                <w:rFonts w:eastAsia="Arial"/>
                <w:sz w:val="22"/>
                <w:szCs w:val="22"/>
              </w:rPr>
            </w:pPr>
            <w:r w:rsidRPr="5BD2FCF6">
              <w:rPr>
                <w:sz w:val="22"/>
                <w:szCs w:val="22"/>
              </w:rPr>
              <w:t>£</w:t>
            </w:r>
            <w:r w:rsidR="69A8DEBF" w:rsidRPr="5BD2FCF6">
              <w:rPr>
                <w:rFonts w:ascii="Times New Roman" w:hAnsi="Times New Roman" w:cs="Times New Roman"/>
                <w:color w:val="000000" w:themeColor="text1"/>
              </w:rPr>
              <w:t>64,691</w:t>
            </w:r>
          </w:p>
        </w:tc>
        <w:tc>
          <w:tcPr>
            <w:tcW w:w="1275" w:type="dxa"/>
            <w:tcBorders>
              <w:top w:val="single" w:sz="4" w:space="0" w:color="auto"/>
              <w:left w:val="single" w:sz="4" w:space="0" w:color="auto"/>
              <w:bottom w:val="single" w:sz="4" w:space="0" w:color="auto"/>
              <w:right w:val="single" w:sz="4" w:space="0" w:color="auto"/>
            </w:tcBorders>
          </w:tcPr>
          <w:p w14:paraId="0C74BC39" w14:textId="77777777" w:rsidR="007F2D79" w:rsidRPr="00964A76" w:rsidRDefault="007F2D79" w:rsidP="585CE774">
            <w:pPr>
              <w:rPr>
                <w:sz w:val="22"/>
                <w:szCs w:val="22"/>
              </w:rPr>
            </w:pPr>
            <w:r w:rsidRPr="5BD2FCF6">
              <w:rPr>
                <w:sz w:val="22"/>
                <w:szCs w:val="22"/>
              </w:rPr>
              <w:t>35</w:t>
            </w:r>
          </w:p>
        </w:tc>
        <w:tc>
          <w:tcPr>
            <w:tcW w:w="1843" w:type="dxa"/>
            <w:tcBorders>
              <w:top w:val="single" w:sz="4" w:space="0" w:color="auto"/>
              <w:left w:val="single" w:sz="4" w:space="0" w:color="auto"/>
              <w:bottom w:val="single" w:sz="4" w:space="0" w:color="auto"/>
              <w:right w:val="single" w:sz="4" w:space="0" w:color="auto"/>
            </w:tcBorders>
          </w:tcPr>
          <w:p w14:paraId="75659379" w14:textId="2E28D181" w:rsidR="007F2D79" w:rsidRPr="0023143E" w:rsidRDefault="001B021D" w:rsidP="5BD2FCF6">
            <w:pPr>
              <w:rPr>
                <w:rFonts w:ascii="Ariel" w:eastAsia="Ariel" w:hAnsi="Ariel" w:cs="Ariel"/>
                <w:sz w:val="22"/>
                <w:szCs w:val="22"/>
              </w:rPr>
            </w:pPr>
            <w:r w:rsidRPr="5BD2FCF6">
              <w:rPr>
                <w:rFonts w:ascii="Ariel" w:eastAsia="Ariel" w:hAnsi="Ariel" w:cs="Ariel"/>
                <w:sz w:val="22"/>
                <w:szCs w:val="22"/>
              </w:rPr>
              <w:t>£</w:t>
            </w:r>
            <w:r w:rsidR="16E57A73" w:rsidRPr="5BD2FCF6">
              <w:rPr>
                <w:rFonts w:ascii="Ariel" w:eastAsia="Ariel" w:hAnsi="Ariel" w:cs="Ariel"/>
                <w:color w:val="000000" w:themeColor="text1"/>
                <w:sz w:val="22"/>
                <w:szCs w:val="22"/>
              </w:rPr>
              <w:t>119,350</w:t>
            </w:r>
          </w:p>
        </w:tc>
      </w:tr>
      <w:tr w:rsidR="00DC1CCE" w:rsidRPr="009D0D69" w14:paraId="0CBD78BB" w14:textId="77777777" w:rsidTr="5BD2FCF6">
        <w:tc>
          <w:tcPr>
            <w:tcW w:w="1701" w:type="dxa"/>
          </w:tcPr>
          <w:p w14:paraId="67BF095E" w14:textId="77777777" w:rsidR="007F2D79" w:rsidRPr="005F24AE" w:rsidRDefault="007F2D79" w:rsidP="585CE774">
            <w:pPr>
              <w:rPr>
                <w:sz w:val="22"/>
                <w:szCs w:val="22"/>
              </w:rPr>
            </w:pPr>
            <w:r w:rsidRPr="5BD2FCF6">
              <w:rPr>
                <w:sz w:val="22"/>
                <w:szCs w:val="22"/>
              </w:rPr>
              <w:t>11</w:t>
            </w:r>
          </w:p>
        </w:tc>
        <w:tc>
          <w:tcPr>
            <w:tcW w:w="1985" w:type="dxa"/>
            <w:tcBorders>
              <w:right w:val="single" w:sz="4" w:space="0" w:color="auto"/>
            </w:tcBorders>
          </w:tcPr>
          <w:p w14:paraId="26D73F68" w14:textId="3728E58B" w:rsidR="007F2D79" w:rsidRPr="0023143E" w:rsidRDefault="001B021D" w:rsidP="5BD2FCF6">
            <w:pPr>
              <w:rPr>
                <w:b/>
                <w:bCs/>
                <w:sz w:val="22"/>
                <w:szCs w:val="22"/>
              </w:rPr>
            </w:pPr>
            <w:r w:rsidRPr="5BD2FCF6">
              <w:rPr>
                <w:b/>
                <w:bCs/>
                <w:sz w:val="22"/>
                <w:szCs w:val="22"/>
              </w:rPr>
              <w:t>£</w:t>
            </w:r>
            <w:r w:rsidR="2E715D53" w:rsidRPr="5BD2FCF6">
              <w:rPr>
                <w:b/>
                <w:bCs/>
                <w:sz w:val="22"/>
                <w:szCs w:val="22"/>
              </w:rPr>
              <w:t>66,368</w:t>
            </w:r>
          </w:p>
        </w:tc>
        <w:tc>
          <w:tcPr>
            <w:tcW w:w="1275" w:type="dxa"/>
            <w:tcBorders>
              <w:top w:val="single" w:sz="4" w:space="0" w:color="auto"/>
              <w:left w:val="single" w:sz="4" w:space="0" w:color="auto"/>
              <w:bottom w:val="single" w:sz="4" w:space="0" w:color="auto"/>
              <w:right w:val="single" w:sz="4" w:space="0" w:color="auto"/>
            </w:tcBorders>
          </w:tcPr>
          <w:p w14:paraId="2AA82D9B" w14:textId="77777777" w:rsidR="007F2D79" w:rsidRPr="0023143E" w:rsidRDefault="007F2D79" w:rsidP="585CE774">
            <w:pPr>
              <w:rPr>
                <w:sz w:val="22"/>
                <w:szCs w:val="22"/>
              </w:rPr>
            </w:pPr>
            <w:r w:rsidRPr="5BD2FCF6">
              <w:rPr>
                <w:sz w:val="22"/>
                <w:szCs w:val="22"/>
              </w:rPr>
              <w:t>36</w:t>
            </w:r>
          </w:p>
        </w:tc>
        <w:tc>
          <w:tcPr>
            <w:tcW w:w="1843" w:type="dxa"/>
            <w:tcBorders>
              <w:top w:val="single" w:sz="4" w:space="0" w:color="auto"/>
              <w:left w:val="single" w:sz="4" w:space="0" w:color="auto"/>
              <w:bottom w:val="single" w:sz="4" w:space="0" w:color="auto"/>
              <w:right w:val="single" w:sz="4" w:space="0" w:color="auto"/>
            </w:tcBorders>
          </w:tcPr>
          <w:p w14:paraId="10EA6F53" w14:textId="0B691A9C" w:rsidR="007F2D79" w:rsidRPr="0023143E" w:rsidRDefault="001B021D" w:rsidP="5BD2FCF6">
            <w:pPr>
              <w:rPr>
                <w:rFonts w:ascii="Ariel" w:eastAsia="Ariel" w:hAnsi="Ariel" w:cs="Ariel"/>
                <w:sz w:val="22"/>
                <w:szCs w:val="22"/>
              </w:rPr>
            </w:pPr>
            <w:r w:rsidRPr="5BD2FCF6">
              <w:rPr>
                <w:rFonts w:ascii="Ariel" w:eastAsia="Ariel" w:hAnsi="Ariel" w:cs="Ariel"/>
                <w:sz w:val="22"/>
                <w:szCs w:val="22"/>
              </w:rPr>
              <w:t>£</w:t>
            </w:r>
            <w:r w:rsidR="26B7D7D4" w:rsidRPr="5BD2FCF6">
              <w:rPr>
                <w:rFonts w:ascii="Ariel" w:eastAsia="Ariel" w:hAnsi="Ariel" w:cs="Ariel"/>
                <w:color w:val="000000" w:themeColor="text1"/>
                <w:sz w:val="22"/>
                <w:szCs w:val="22"/>
              </w:rPr>
              <w:t>122,306</w:t>
            </w:r>
          </w:p>
        </w:tc>
      </w:tr>
      <w:tr w:rsidR="00DC1CCE" w:rsidRPr="009D0D69" w14:paraId="397E5570" w14:textId="77777777" w:rsidTr="5BD2FCF6">
        <w:tc>
          <w:tcPr>
            <w:tcW w:w="1701" w:type="dxa"/>
          </w:tcPr>
          <w:p w14:paraId="5BCD4C8A" w14:textId="77777777" w:rsidR="007F2D79" w:rsidRPr="005F24AE" w:rsidRDefault="007F2D79" w:rsidP="585CE774">
            <w:pPr>
              <w:rPr>
                <w:sz w:val="22"/>
                <w:szCs w:val="22"/>
              </w:rPr>
            </w:pPr>
            <w:r w:rsidRPr="5BD2FCF6">
              <w:rPr>
                <w:sz w:val="22"/>
                <w:szCs w:val="22"/>
              </w:rPr>
              <w:t>12</w:t>
            </w:r>
          </w:p>
        </w:tc>
        <w:tc>
          <w:tcPr>
            <w:tcW w:w="1985" w:type="dxa"/>
            <w:tcBorders>
              <w:right w:val="single" w:sz="4" w:space="0" w:color="auto"/>
            </w:tcBorders>
          </w:tcPr>
          <w:p w14:paraId="6DFE2338" w14:textId="5EC86C02" w:rsidR="007F2D79" w:rsidRPr="0023143E" w:rsidRDefault="001B021D" w:rsidP="5BD2FCF6">
            <w:pPr>
              <w:rPr>
                <w:rFonts w:eastAsia="Arial"/>
                <w:sz w:val="22"/>
                <w:szCs w:val="22"/>
              </w:rPr>
            </w:pPr>
            <w:r w:rsidRPr="5BD2FCF6">
              <w:rPr>
                <w:sz w:val="22"/>
                <w:szCs w:val="22"/>
              </w:rPr>
              <w:t>£</w:t>
            </w:r>
            <w:r w:rsidR="07A470BD" w:rsidRPr="5BD2FCF6">
              <w:rPr>
                <w:rFonts w:ascii="Times New Roman" w:hAnsi="Times New Roman" w:cs="Times New Roman"/>
                <w:color w:val="000000" w:themeColor="text1"/>
              </w:rPr>
              <w:t>67,898</w:t>
            </w:r>
          </w:p>
        </w:tc>
        <w:tc>
          <w:tcPr>
            <w:tcW w:w="1275" w:type="dxa"/>
            <w:tcBorders>
              <w:top w:val="single" w:sz="4" w:space="0" w:color="auto"/>
              <w:left w:val="single" w:sz="4" w:space="0" w:color="auto"/>
              <w:bottom w:val="single" w:sz="4" w:space="0" w:color="auto"/>
              <w:right w:val="single" w:sz="4" w:space="0" w:color="auto"/>
            </w:tcBorders>
          </w:tcPr>
          <w:p w14:paraId="499A1A6C" w14:textId="77777777" w:rsidR="007F2D79" w:rsidRPr="0023143E" w:rsidRDefault="007F2D79" w:rsidP="585CE774">
            <w:pPr>
              <w:rPr>
                <w:sz w:val="22"/>
                <w:szCs w:val="22"/>
              </w:rPr>
            </w:pPr>
            <w:r w:rsidRPr="5BD2FCF6">
              <w:rPr>
                <w:sz w:val="22"/>
                <w:szCs w:val="22"/>
              </w:rPr>
              <w:t>37</w:t>
            </w:r>
          </w:p>
        </w:tc>
        <w:tc>
          <w:tcPr>
            <w:tcW w:w="1843" w:type="dxa"/>
            <w:tcBorders>
              <w:top w:val="single" w:sz="4" w:space="0" w:color="auto"/>
              <w:left w:val="single" w:sz="4" w:space="0" w:color="auto"/>
              <w:bottom w:val="single" w:sz="4" w:space="0" w:color="auto"/>
              <w:right w:val="single" w:sz="4" w:space="0" w:color="auto"/>
            </w:tcBorders>
          </w:tcPr>
          <w:p w14:paraId="37F47D79" w14:textId="6CE411EE" w:rsidR="007F2D79" w:rsidRPr="00AF6CB2" w:rsidRDefault="001B021D" w:rsidP="5BD2FCF6">
            <w:pPr>
              <w:rPr>
                <w:rFonts w:ascii="Ariel" w:eastAsia="Ariel" w:hAnsi="Ariel" w:cs="Ariel"/>
                <w:sz w:val="22"/>
                <w:szCs w:val="22"/>
              </w:rPr>
            </w:pPr>
            <w:r w:rsidRPr="5BD2FCF6">
              <w:rPr>
                <w:rFonts w:ascii="Ariel" w:eastAsia="Ariel" w:hAnsi="Ariel" w:cs="Ariel"/>
                <w:sz w:val="22"/>
                <w:szCs w:val="22"/>
              </w:rPr>
              <w:t>£</w:t>
            </w:r>
            <w:r w:rsidR="6A40D484" w:rsidRPr="5BD2FCF6">
              <w:rPr>
                <w:rFonts w:ascii="Ariel" w:eastAsia="Ariel" w:hAnsi="Ariel" w:cs="Ariel"/>
                <w:color w:val="000000" w:themeColor="text1"/>
                <w:sz w:val="22"/>
                <w:szCs w:val="22"/>
              </w:rPr>
              <w:t>125,345</w:t>
            </w:r>
          </w:p>
        </w:tc>
      </w:tr>
      <w:tr w:rsidR="00DC1CCE" w:rsidRPr="009D0D69" w14:paraId="3E29820B" w14:textId="77777777" w:rsidTr="5BD2FCF6">
        <w:tc>
          <w:tcPr>
            <w:tcW w:w="1701" w:type="dxa"/>
          </w:tcPr>
          <w:p w14:paraId="3EA0724B" w14:textId="77777777" w:rsidR="007F2D79" w:rsidRPr="005F24AE" w:rsidRDefault="007F2D79" w:rsidP="585CE774">
            <w:pPr>
              <w:rPr>
                <w:sz w:val="22"/>
                <w:szCs w:val="22"/>
              </w:rPr>
            </w:pPr>
            <w:r w:rsidRPr="5BD2FCF6">
              <w:rPr>
                <w:sz w:val="22"/>
                <w:szCs w:val="22"/>
              </w:rPr>
              <w:t>13</w:t>
            </w:r>
          </w:p>
        </w:tc>
        <w:tc>
          <w:tcPr>
            <w:tcW w:w="1985" w:type="dxa"/>
            <w:tcBorders>
              <w:right w:val="single" w:sz="4" w:space="0" w:color="auto"/>
            </w:tcBorders>
          </w:tcPr>
          <w:p w14:paraId="2C4D8176" w14:textId="13C1A07D" w:rsidR="007F2D79" w:rsidRPr="0023143E" w:rsidRDefault="001B021D" w:rsidP="5BD2FCF6">
            <w:pPr>
              <w:rPr>
                <w:rFonts w:eastAsia="Arial"/>
                <w:sz w:val="22"/>
                <w:szCs w:val="22"/>
              </w:rPr>
            </w:pPr>
            <w:r w:rsidRPr="5BD2FCF6">
              <w:rPr>
                <w:sz w:val="22"/>
                <w:szCs w:val="22"/>
              </w:rPr>
              <w:t>£</w:t>
            </w:r>
            <w:r w:rsidR="365E77DC" w:rsidRPr="5BD2FCF6">
              <w:rPr>
                <w:rFonts w:ascii="Times New Roman" w:hAnsi="Times New Roman" w:cs="Times New Roman"/>
                <w:color w:val="000000" w:themeColor="text1"/>
              </w:rPr>
              <w:t>69,596</w:t>
            </w:r>
          </w:p>
        </w:tc>
        <w:tc>
          <w:tcPr>
            <w:tcW w:w="1275" w:type="dxa"/>
            <w:tcBorders>
              <w:top w:val="single" w:sz="4" w:space="0" w:color="auto"/>
              <w:left w:val="single" w:sz="4" w:space="0" w:color="auto"/>
              <w:bottom w:val="single" w:sz="4" w:space="0" w:color="auto"/>
              <w:right w:val="single" w:sz="4" w:space="0" w:color="auto"/>
            </w:tcBorders>
          </w:tcPr>
          <w:p w14:paraId="346C5A05" w14:textId="77777777" w:rsidR="007F2D79" w:rsidRPr="0023143E" w:rsidRDefault="007F2D79" w:rsidP="585CE774">
            <w:pPr>
              <w:rPr>
                <w:sz w:val="22"/>
                <w:szCs w:val="22"/>
              </w:rPr>
            </w:pPr>
            <w:r w:rsidRPr="5BD2FCF6">
              <w:rPr>
                <w:sz w:val="22"/>
                <w:szCs w:val="22"/>
              </w:rPr>
              <w:t>38</w:t>
            </w:r>
          </w:p>
        </w:tc>
        <w:tc>
          <w:tcPr>
            <w:tcW w:w="1843" w:type="dxa"/>
            <w:tcBorders>
              <w:top w:val="single" w:sz="4" w:space="0" w:color="auto"/>
              <w:left w:val="single" w:sz="4" w:space="0" w:color="auto"/>
              <w:bottom w:val="single" w:sz="4" w:space="0" w:color="auto"/>
              <w:right w:val="single" w:sz="4" w:space="0" w:color="auto"/>
            </w:tcBorders>
          </w:tcPr>
          <w:p w14:paraId="3BC6369A" w14:textId="5E39F1C5" w:rsidR="007F2D79" w:rsidRPr="0023143E" w:rsidRDefault="001B021D" w:rsidP="5BD2FCF6">
            <w:pPr>
              <w:rPr>
                <w:rFonts w:ascii="Ariel" w:eastAsia="Ariel" w:hAnsi="Ariel" w:cs="Ariel"/>
                <w:sz w:val="22"/>
                <w:szCs w:val="22"/>
              </w:rPr>
            </w:pPr>
            <w:r w:rsidRPr="5BD2FCF6">
              <w:rPr>
                <w:rFonts w:ascii="Ariel" w:eastAsia="Ariel" w:hAnsi="Ariel" w:cs="Ariel"/>
                <w:sz w:val="22"/>
                <w:szCs w:val="22"/>
              </w:rPr>
              <w:t>£</w:t>
            </w:r>
            <w:r w:rsidR="3713E7E2" w:rsidRPr="5BD2FCF6">
              <w:rPr>
                <w:rFonts w:ascii="Ariel" w:eastAsia="Ariel" w:hAnsi="Ariel" w:cs="Ariel"/>
                <w:color w:val="000000" w:themeColor="text1"/>
                <w:sz w:val="22"/>
                <w:szCs w:val="22"/>
              </w:rPr>
              <w:t>128,447</w:t>
            </w:r>
          </w:p>
        </w:tc>
      </w:tr>
      <w:tr w:rsidR="00DC1CCE" w:rsidRPr="009D0D69" w14:paraId="342A0053" w14:textId="77777777" w:rsidTr="5BD2FCF6">
        <w:tc>
          <w:tcPr>
            <w:tcW w:w="1701" w:type="dxa"/>
          </w:tcPr>
          <w:p w14:paraId="596EC081" w14:textId="77777777" w:rsidR="007F2D79" w:rsidRPr="005F24AE" w:rsidRDefault="007F2D79" w:rsidP="585CE774">
            <w:pPr>
              <w:rPr>
                <w:sz w:val="22"/>
                <w:szCs w:val="22"/>
              </w:rPr>
            </w:pPr>
            <w:r w:rsidRPr="5BD2FCF6">
              <w:rPr>
                <w:sz w:val="22"/>
                <w:szCs w:val="22"/>
              </w:rPr>
              <w:t>14</w:t>
            </w:r>
          </w:p>
        </w:tc>
        <w:tc>
          <w:tcPr>
            <w:tcW w:w="1985" w:type="dxa"/>
            <w:tcBorders>
              <w:right w:val="single" w:sz="4" w:space="0" w:color="auto"/>
            </w:tcBorders>
          </w:tcPr>
          <w:p w14:paraId="08DBECE8" w14:textId="7870C4FF" w:rsidR="007F2D79" w:rsidRPr="0023143E" w:rsidRDefault="001B021D" w:rsidP="5BD2FCF6">
            <w:pPr>
              <w:rPr>
                <w:rFonts w:ascii="Ariel" w:eastAsia="Ariel" w:hAnsi="Ariel" w:cs="Ariel"/>
                <w:sz w:val="22"/>
                <w:szCs w:val="22"/>
              </w:rPr>
            </w:pPr>
            <w:r w:rsidRPr="5BD2FCF6">
              <w:rPr>
                <w:rFonts w:ascii="Ariel" w:eastAsia="Ariel" w:hAnsi="Ariel" w:cs="Ariel"/>
                <w:b/>
                <w:bCs/>
                <w:sz w:val="22"/>
                <w:szCs w:val="22"/>
              </w:rPr>
              <w:t>£</w:t>
            </w:r>
            <w:r w:rsidR="14F9A291" w:rsidRPr="5BD2FCF6">
              <w:rPr>
                <w:rFonts w:ascii="Ariel" w:eastAsia="Ariel" w:hAnsi="Ariel" w:cs="Ariel"/>
                <w:b/>
                <w:bCs/>
                <w:sz w:val="22"/>
                <w:szCs w:val="22"/>
                <w:shd w:val="clear" w:color="auto" w:fill="FFFFFF"/>
              </w:rPr>
              <w:t>71,330</w:t>
            </w:r>
          </w:p>
        </w:tc>
        <w:tc>
          <w:tcPr>
            <w:tcW w:w="1275" w:type="dxa"/>
            <w:tcBorders>
              <w:top w:val="single" w:sz="4" w:space="0" w:color="auto"/>
              <w:left w:val="single" w:sz="4" w:space="0" w:color="auto"/>
              <w:bottom w:val="single" w:sz="4" w:space="0" w:color="auto"/>
              <w:right w:val="single" w:sz="4" w:space="0" w:color="auto"/>
            </w:tcBorders>
          </w:tcPr>
          <w:p w14:paraId="781C442A" w14:textId="77777777" w:rsidR="007F2D79" w:rsidRPr="0023143E" w:rsidRDefault="007F2D79" w:rsidP="585CE774">
            <w:pPr>
              <w:rPr>
                <w:b/>
                <w:bCs/>
                <w:sz w:val="22"/>
                <w:szCs w:val="22"/>
              </w:rPr>
            </w:pPr>
            <w:r w:rsidRPr="5BD2FCF6">
              <w:rPr>
                <w:b/>
                <w:bCs/>
                <w:sz w:val="22"/>
                <w:szCs w:val="22"/>
              </w:rPr>
              <w:t>39*</w:t>
            </w:r>
          </w:p>
        </w:tc>
        <w:tc>
          <w:tcPr>
            <w:tcW w:w="1843" w:type="dxa"/>
            <w:tcBorders>
              <w:top w:val="single" w:sz="4" w:space="0" w:color="auto"/>
              <w:left w:val="single" w:sz="4" w:space="0" w:color="auto"/>
              <w:bottom w:val="single" w:sz="4" w:space="0" w:color="auto"/>
              <w:right w:val="single" w:sz="4" w:space="0" w:color="auto"/>
            </w:tcBorders>
          </w:tcPr>
          <w:p w14:paraId="6F6FEED3" w14:textId="79482846" w:rsidR="007F2D79" w:rsidRPr="0023143E" w:rsidRDefault="001B021D" w:rsidP="5BD2FCF6">
            <w:pPr>
              <w:rPr>
                <w:rFonts w:ascii="Ariel" w:eastAsia="Ariel" w:hAnsi="Ariel" w:cs="Ariel"/>
                <w:b/>
                <w:bCs/>
                <w:sz w:val="22"/>
                <w:szCs w:val="22"/>
              </w:rPr>
            </w:pPr>
            <w:r w:rsidRPr="5BD2FCF6">
              <w:rPr>
                <w:rFonts w:ascii="Ariel" w:eastAsia="Ariel" w:hAnsi="Ariel" w:cs="Ariel"/>
                <w:b/>
                <w:bCs/>
                <w:sz w:val="22"/>
                <w:szCs w:val="22"/>
              </w:rPr>
              <w:t>£</w:t>
            </w:r>
            <w:r w:rsidR="13E29A07" w:rsidRPr="5BD2FCF6">
              <w:rPr>
                <w:rFonts w:ascii="Ariel" w:eastAsia="Ariel" w:hAnsi="Ariel" w:cs="Ariel"/>
                <w:b/>
                <w:bCs/>
                <w:sz w:val="22"/>
                <w:szCs w:val="22"/>
                <w:shd w:val="clear" w:color="auto" w:fill="FFFFFF"/>
              </w:rPr>
              <w:t>1</w:t>
            </w:r>
            <w:r w:rsidR="1D50AC91" w:rsidRPr="5BD2FCF6">
              <w:rPr>
                <w:rFonts w:ascii="Ariel" w:eastAsia="Ariel" w:hAnsi="Ariel" w:cs="Ariel"/>
                <w:b/>
                <w:bCs/>
                <w:sz w:val="22"/>
                <w:szCs w:val="22"/>
                <w:shd w:val="clear" w:color="auto" w:fill="FFFFFF"/>
              </w:rPr>
              <w:t>30,274</w:t>
            </w:r>
          </w:p>
        </w:tc>
      </w:tr>
      <w:tr w:rsidR="00DC1CCE" w:rsidRPr="009D0D69" w14:paraId="60A952C1" w14:textId="77777777" w:rsidTr="5BD2FCF6">
        <w:tc>
          <w:tcPr>
            <w:tcW w:w="1701" w:type="dxa"/>
          </w:tcPr>
          <w:p w14:paraId="4A5B4ABE" w14:textId="77777777" w:rsidR="007F2D79" w:rsidRPr="005F24AE" w:rsidRDefault="007F2D79" w:rsidP="585CE774">
            <w:pPr>
              <w:rPr>
                <w:sz w:val="22"/>
                <w:szCs w:val="22"/>
              </w:rPr>
            </w:pPr>
            <w:r w:rsidRPr="5BD2FCF6">
              <w:rPr>
                <w:sz w:val="22"/>
                <w:szCs w:val="22"/>
              </w:rPr>
              <w:t>15</w:t>
            </w:r>
          </w:p>
        </w:tc>
        <w:tc>
          <w:tcPr>
            <w:tcW w:w="1985" w:type="dxa"/>
            <w:tcBorders>
              <w:right w:val="single" w:sz="4" w:space="0" w:color="auto"/>
            </w:tcBorders>
          </w:tcPr>
          <w:p w14:paraId="2B4F25A7" w14:textId="652E7F46" w:rsidR="007F2D79" w:rsidRPr="0023143E" w:rsidRDefault="001B021D" w:rsidP="5BD2FCF6">
            <w:pPr>
              <w:rPr>
                <w:rFonts w:ascii="Ariel" w:eastAsia="Ariel" w:hAnsi="Ariel" w:cs="Ariel"/>
                <w:sz w:val="22"/>
                <w:szCs w:val="22"/>
              </w:rPr>
            </w:pPr>
            <w:r w:rsidRPr="5BD2FCF6">
              <w:rPr>
                <w:rFonts w:ascii="Ariel" w:eastAsia="Ariel" w:hAnsi="Ariel" w:cs="Ariel"/>
                <w:sz w:val="22"/>
                <w:szCs w:val="22"/>
              </w:rPr>
              <w:t>£</w:t>
            </w:r>
            <w:r w:rsidR="03DE9405" w:rsidRPr="5BD2FCF6">
              <w:rPr>
                <w:rFonts w:ascii="Ariel" w:eastAsia="Ariel" w:hAnsi="Ariel" w:cs="Ariel"/>
                <w:color w:val="000000" w:themeColor="text1"/>
                <w:sz w:val="22"/>
                <w:szCs w:val="22"/>
              </w:rPr>
              <w:t>73,105</w:t>
            </w:r>
          </w:p>
        </w:tc>
        <w:tc>
          <w:tcPr>
            <w:tcW w:w="1275" w:type="dxa"/>
            <w:tcBorders>
              <w:top w:val="single" w:sz="4" w:space="0" w:color="auto"/>
              <w:left w:val="single" w:sz="4" w:space="0" w:color="auto"/>
              <w:bottom w:val="single" w:sz="4" w:space="0" w:color="auto"/>
              <w:right w:val="single" w:sz="4" w:space="0" w:color="auto"/>
            </w:tcBorders>
          </w:tcPr>
          <w:p w14:paraId="16644E37" w14:textId="77777777" w:rsidR="007F2D79" w:rsidRPr="0023143E" w:rsidRDefault="007F2D79" w:rsidP="585CE774">
            <w:pPr>
              <w:rPr>
                <w:sz w:val="22"/>
                <w:szCs w:val="22"/>
              </w:rPr>
            </w:pPr>
            <w:r w:rsidRPr="5BD2FCF6">
              <w:rPr>
                <w:sz w:val="22"/>
                <w:szCs w:val="22"/>
              </w:rPr>
              <w:t>39</w:t>
            </w:r>
          </w:p>
        </w:tc>
        <w:tc>
          <w:tcPr>
            <w:tcW w:w="1843" w:type="dxa"/>
            <w:tcBorders>
              <w:top w:val="single" w:sz="4" w:space="0" w:color="auto"/>
              <w:left w:val="single" w:sz="4" w:space="0" w:color="auto"/>
              <w:bottom w:val="single" w:sz="4" w:space="0" w:color="auto"/>
              <w:right w:val="single" w:sz="4" w:space="0" w:color="auto"/>
            </w:tcBorders>
          </w:tcPr>
          <w:p w14:paraId="21193F97" w14:textId="1A9B404E" w:rsidR="007F2D79" w:rsidRPr="00C87818" w:rsidRDefault="001B021D" w:rsidP="5BD2FCF6">
            <w:pPr>
              <w:rPr>
                <w:rFonts w:ascii="Ariel" w:eastAsia="Ariel" w:hAnsi="Ariel" w:cs="Ariel"/>
                <w:sz w:val="22"/>
                <w:szCs w:val="22"/>
              </w:rPr>
            </w:pPr>
            <w:r w:rsidRPr="5BD2FCF6">
              <w:rPr>
                <w:rFonts w:ascii="Ariel" w:eastAsia="Ariel" w:hAnsi="Ariel" w:cs="Ariel"/>
                <w:sz w:val="22"/>
                <w:szCs w:val="22"/>
              </w:rPr>
              <w:t>£</w:t>
            </w:r>
            <w:r w:rsidR="02AA26CF" w:rsidRPr="5BD2FCF6">
              <w:rPr>
                <w:rFonts w:ascii="Ariel" w:eastAsia="Ariel" w:hAnsi="Ariel" w:cs="Ariel"/>
                <w:color w:val="000000" w:themeColor="text1"/>
                <w:sz w:val="22"/>
                <w:szCs w:val="22"/>
              </w:rPr>
              <w:t>130,274</w:t>
            </w:r>
          </w:p>
        </w:tc>
      </w:tr>
      <w:tr w:rsidR="00DC1CCE" w:rsidRPr="009D0D69" w14:paraId="51A04274" w14:textId="77777777" w:rsidTr="5BD2FCF6">
        <w:tc>
          <w:tcPr>
            <w:tcW w:w="1701" w:type="dxa"/>
          </w:tcPr>
          <w:p w14:paraId="5AD89A37" w14:textId="77777777" w:rsidR="007F2D79" w:rsidRPr="005F24AE" w:rsidRDefault="007F2D79" w:rsidP="585CE774">
            <w:pPr>
              <w:rPr>
                <w:sz w:val="22"/>
                <w:szCs w:val="22"/>
              </w:rPr>
            </w:pPr>
            <w:r w:rsidRPr="5BD2FCF6">
              <w:rPr>
                <w:sz w:val="22"/>
                <w:szCs w:val="22"/>
              </w:rPr>
              <w:t>16</w:t>
            </w:r>
          </w:p>
        </w:tc>
        <w:tc>
          <w:tcPr>
            <w:tcW w:w="1985" w:type="dxa"/>
            <w:tcBorders>
              <w:right w:val="single" w:sz="4" w:space="0" w:color="auto"/>
            </w:tcBorders>
          </w:tcPr>
          <w:p w14:paraId="42A12398" w14:textId="6FA647E0" w:rsidR="007F2D79" w:rsidRPr="0023143E" w:rsidRDefault="001B021D" w:rsidP="5BD2FCF6">
            <w:pPr>
              <w:rPr>
                <w:rFonts w:ascii="Ariel" w:eastAsia="Ariel" w:hAnsi="Ariel" w:cs="Ariel"/>
                <w:sz w:val="22"/>
                <w:szCs w:val="22"/>
              </w:rPr>
            </w:pPr>
            <w:r w:rsidRPr="5BD2FCF6">
              <w:rPr>
                <w:rFonts w:ascii="Ariel" w:eastAsia="Ariel" w:hAnsi="Ariel" w:cs="Ariel"/>
                <w:sz w:val="22"/>
                <w:szCs w:val="22"/>
              </w:rPr>
              <w:t>£</w:t>
            </w:r>
            <w:r w:rsidR="69763DAE" w:rsidRPr="5BD2FCF6">
              <w:rPr>
                <w:rFonts w:ascii="Ariel" w:eastAsia="Ariel" w:hAnsi="Ariel" w:cs="Ariel"/>
                <w:color w:val="000000" w:themeColor="text1"/>
                <w:sz w:val="22"/>
                <w:szCs w:val="22"/>
              </w:rPr>
              <w:t>75,049</w:t>
            </w:r>
          </w:p>
        </w:tc>
        <w:tc>
          <w:tcPr>
            <w:tcW w:w="1275" w:type="dxa"/>
            <w:tcBorders>
              <w:top w:val="single" w:sz="4" w:space="0" w:color="auto"/>
              <w:left w:val="single" w:sz="4" w:space="0" w:color="auto"/>
              <w:bottom w:val="single" w:sz="4" w:space="0" w:color="auto"/>
              <w:right w:val="single" w:sz="4" w:space="0" w:color="auto"/>
            </w:tcBorders>
          </w:tcPr>
          <w:p w14:paraId="3ADF6279" w14:textId="77777777" w:rsidR="007F2D79" w:rsidRPr="0023143E" w:rsidRDefault="007F2D79" w:rsidP="585CE774">
            <w:pPr>
              <w:rPr>
                <w:sz w:val="22"/>
                <w:szCs w:val="22"/>
              </w:rPr>
            </w:pPr>
            <w:r w:rsidRPr="5BD2FCF6">
              <w:rPr>
                <w:sz w:val="22"/>
                <w:szCs w:val="22"/>
              </w:rPr>
              <w:t>40</w:t>
            </w:r>
          </w:p>
        </w:tc>
        <w:tc>
          <w:tcPr>
            <w:tcW w:w="1843" w:type="dxa"/>
            <w:tcBorders>
              <w:top w:val="single" w:sz="4" w:space="0" w:color="auto"/>
              <w:left w:val="single" w:sz="4" w:space="0" w:color="auto"/>
              <w:bottom w:val="single" w:sz="4" w:space="0" w:color="auto"/>
              <w:right w:val="single" w:sz="4" w:space="0" w:color="auto"/>
            </w:tcBorders>
          </w:tcPr>
          <w:p w14:paraId="26D19726" w14:textId="7F8977C2" w:rsidR="007F2D79" w:rsidRPr="00964A76" w:rsidRDefault="001B021D" w:rsidP="5BD2FCF6">
            <w:pPr>
              <w:rPr>
                <w:rFonts w:ascii="Ariel" w:eastAsia="Ariel" w:hAnsi="Ariel" w:cs="Ariel"/>
                <w:sz w:val="22"/>
                <w:szCs w:val="22"/>
              </w:rPr>
            </w:pPr>
            <w:r w:rsidRPr="5BD2FCF6">
              <w:rPr>
                <w:rFonts w:ascii="Ariel" w:eastAsia="Ariel" w:hAnsi="Ariel" w:cs="Ariel"/>
                <w:sz w:val="22"/>
                <w:szCs w:val="22"/>
              </w:rPr>
              <w:t>£</w:t>
            </w:r>
            <w:r w:rsidR="59EFE932" w:rsidRPr="5BD2FCF6">
              <w:rPr>
                <w:rFonts w:ascii="Ariel" w:eastAsia="Ariel" w:hAnsi="Ariel" w:cs="Ariel"/>
                <w:color w:val="000000" w:themeColor="text1"/>
                <w:sz w:val="22"/>
                <w:szCs w:val="22"/>
              </w:rPr>
              <w:t>134,860</w:t>
            </w:r>
          </w:p>
        </w:tc>
      </w:tr>
      <w:tr w:rsidR="00DC1CCE" w:rsidRPr="009D0D69" w14:paraId="4A71EBF3" w14:textId="77777777" w:rsidTr="5BD2FCF6">
        <w:tc>
          <w:tcPr>
            <w:tcW w:w="1701" w:type="dxa"/>
          </w:tcPr>
          <w:p w14:paraId="0C223815" w14:textId="77777777" w:rsidR="007F2D79" w:rsidRPr="005F24AE" w:rsidRDefault="007F2D79" w:rsidP="585CE774">
            <w:pPr>
              <w:rPr>
                <w:sz w:val="22"/>
                <w:szCs w:val="22"/>
              </w:rPr>
            </w:pPr>
            <w:r w:rsidRPr="5BD2FCF6">
              <w:rPr>
                <w:sz w:val="22"/>
                <w:szCs w:val="22"/>
              </w:rPr>
              <w:t>17</w:t>
            </w:r>
          </w:p>
        </w:tc>
        <w:tc>
          <w:tcPr>
            <w:tcW w:w="1985" w:type="dxa"/>
            <w:tcBorders>
              <w:right w:val="single" w:sz="4" w:space="0" w:color="auto"/>
            </w:tcBorders>
          </w:tcPr>
          <w:p w14:paraId="17CE2C3D" w14:textId="432D3563" w:rsidR="007F2D79" w:rsidRPr="0023143E" w:rsidRDefault="001B021D" w:rsidP="5BD2FCF6">
            <w:pPr>
              <w:rPr>
                <w:rFonts w:ascii="Ariel" w:eastAsia="Ariel" w:hAnsi="Ariel" w:cs="Ariel"/>
                <w:sz w:val="22"/>
                <w:szCs w:val="22"/>
              </w:rPr>
            </w:pPr>
            <w:r w:rsidRPr="5BD2FCF6">
              <w:rPr>
                <w:rFonts w:ascii="Ariel" w:eastAsia="Ariel" w:hAnsi="Ariel" w:cs="Ariel"/>
                <w:sz w:val="22"/>
                <w:szCs w:val="22"/>
              </w:rPr>
              <w:t>£</w:t>
            </w:r>
            <w:r w:rsidR="5DBF2666" w:rsidRPr="5BD2FCF6">
              <w:rPr>
                <w:rFonts w:ascii="Ariel" w:eastAsia="Ariel" w:hAnsi="Ariel" w:cs="Ariel"/>
                <w:color w:val="000000" w:themeColor="text1"/>
                <w:sz w:val="22"/>
                <w:szCs w:val="22"/>
              </w:rPr>
              <w:t>76,772</w:t>
            </w:r>
          </w:p>
        </w:tc>
        <w:tc>
          <w:tcPr>
            <w:tcW w:w="1275" w:type="dxa"/>
            <w:tcBorders>
              <w:top w:val="single" w:sz="4" w:space="0" w:color="auto"/>
              <w:left w:val="single" w:sz="4" w:space="0" w:color="auto"/>
              <w:bottom w:val="single" w:sz="4" w:space="0" w:color="auto"/>
              <w:right w:val="single" w:sz="4" w:space="0" w:color="auto"/>
            </w:tcBorders>
          </w:tcPr>
          <w:p w14:paraId="5B83D2E3" w14:textId="77777777" w:rsidR="007F2D79" w:rsidRPr="0023143E" w:rsidRDefault="007F2D79" w:rsidP="585CE774">
            <w:pPr>
              <w:rPr>
                <w:sz w:val="22"/>
                <w:szCs w:val="22"/>
              </w:rPr>
            </w:pPr>
            <w:r w:rsidRPr="5BD2FCF6">
              <w:rPr>
                <w:sz w:val="22"/>
                <w:szCs w:val="22"/>
              </w:rPr>
              <w:t>41</w:t>
            </w:r>
          </w:p>
        </w:tc>
        <w:tc>
          <w:tcPr>
            <w:tcW w:w="1843" w:type="dxa"/>
            <w:tcBorders>
              <w:top w:val="single" w:sz="4" w:space="0" w:color="auto"/>
              <w:left w:val="single" w:sz="4" w:space="0" w:color="auto"/>
              <w:bottom w:val="single" w:sz="4" w:space="0" w:color="auto"/>
              <w:right w:val="single" w:sz="4" w:space="0" w:color="auto"/>
            </w:tcBorders>
          </w:tcPr>
          <w:p w14:paraId="6B3E272D" w14:textId="6B76F6E8" w:rsidR="007F2D79" w:rsidRPr="00C87818" w:rsidRDefault="001B021D" w:rsidP="5BD2FCF6">
            <w:pPr>
              <w:rPr>
                <w:rFonts w:ascii="Ariel" w:eastAsia="Ariel" w:hAnsi="Ariel" w:cs="Ariel"/>
                <w:sz w:val="22"/>
                <w:szCs w:val="22"/>
              </w:rPr>
            </w:pPr>
            <w:r w:rsidRPr="5BD2FCF6">
              <w:rPr>
                <w:rFonts w:ascii="Ariel" w:eastAsia="Ariel" w:hAnsi="Ariel" w:cs="Ariel"/>
                <w:sz w:val="22"/>
                <w:szCs w:val="22"/>
              </w:rPr>
              <w:t>£</w:t>
            </w:r>
            <w:r w:rsidR="2EBBEA51" w:rsidRPr="5BD2FCF6">
              <w:rPr>
                <w:rFonts w:ascii="Ariel" w:eastAsia="Ariel" w:hAnsi="Ariel" w:cs="Ariel"/>
                <w:color w:val="000000" w:themeColor="text1"/>
                <w:sz w:val="22"/>
                <w:szCs w:val="22"/>
              </w:rPr>
              <w:t>138,230</w:t>
            </w:r>
          </w:p>
        </w:tc>
      </w:tr>
      <w:tr w:rsidR="00DC1CCE" w:rsidRPr="009D0D69" w14:paraId="0E93ECEB" w14:textId="77777777" w:rsidTr="5BD2FCF6">
        <w:tc>
          <w:tcPr>
            <w:tcW w:w="1701" w:type="dxa"/>
          </w:tcPr>
          <w:p w14:paraId="0F7593D6" w14:textId="77777777" w:rsidR="007F2D79" w:rsidRPr="005F24AE" w:rsidRDefault="007F2D79" w:rsidP="585CE774">
            <w:pPr>
              <w:rPr>
                <w:b/>
                <w:bCs/>
                <w:sz w:val="22"/>
                <w:szCs w:val="22"/>
              </w:rPr>
            </w:pPr>
            <w:r w:rsidRPr="5BD2FCF6">
              <w:rPr>
                <w:b/>
                <w:bCs/>
                <w:sz w:val="22"/>
                <w:szCs w:val="22"/>
              </w:rPr>
              <w:t>18*</w:t>
            </w:r>
          </w:p>
        </w:tc>
        <w:tc>
          <w:tcPr>
            <w:tcW w:w="1985" w:type="dxa"/>
            <w:tcBorders>
              <w:right w:val="single" w:sz="4" w:space="0" w:color="auto"/>
            </w:tcBorders>
          </w:tcPr>
          <w:p w14:paraId="2CB521F4" w14:textId="08704A05" w:rsidR="007F2D79" w:rsidRPr="0023143E" w:rsidRDefault="001B021D" w:rsidP="5BD2FCF6">
            <w:pPr>
              <w:rPr>
                <w:b/>
                <w:bCs/>
                <w:sz w:val="22"/>
                <w:szCs w:val="22"/>
              </w:rPr>
            </w:pPr>
            <w:r w:rsidRPr="5BD2FCF6">
              <w:rPr>
                <w:b/>
                <w:bCs/>
                <w:sz w:val="22"/>
                <w:szCs w:val="22"/>
              </w:rPr>
              <w:t>£</w:t>
            </w:r>
            <w:r w:rsidR="75A9E080" w:rsidRPr="5BD2FCF6">
              <w:rPr>
                <w:b/>
                <w:bCs/>
                <w:sz w:val="22"/>
                <w:szCs w:val="22"/>
                <w:shd w:val="clear" w:color="auto" w:fill="FFFFFF"/>
              </w:rPr>
              <w:t>7</w:t>
            </w:r>
            <w:r w:rsidR="3A384106" w:rsidRPr="5BD2FCF6">
              <w:rPr>
                <w:b/>
                <w:bCs/>
                <w:sz w:val="22"/>
                <w:szCs w:val="22"/>
                <w:shd w:val="clear" w:color="auto" w:fill="FFFFFF"/>
              </w:rPr>
              <w:t>7,924</w:t>
            </w:r>
          </w:p>
        </w:tc>
        <w:tc>
          <w:tcPr>
            <w:tcW w:w="1275" w:type="dxa"/>
            <w:tcBorders>
              <w:top w:val="single" w:sz="4" w:space="0" w:color="auto"/>
              <w:left w:val="single" w:sz="4" w:space="0" w:color="auto"/>
              <w:bottom w:val="single" w:sz="4" w:space="0" w:color="auto"/>
              <w:right w:val="single" w:sz="4" w:space="0" w:color="auto"/>
            </w:tcBorders>
          </w:tcPr>
          <w:p w14:paraId="3BE463BC" w14:textId="77777777" w:rsidR="007F2D79" w:rsidRPr="0023143E" w:rsidRDefault="007F2D79" w:rsidP="585CE774">
            <w:pPr>
              <w:rPr>
                <w:sz w:val="22"/>
                <w:szCs w:val="22"/>
              </w:rPr>
            </w:pPr>
            <w:r w:rsidRPr="5BD2FCF6">
              <w:rPr>
                <w:sz w:val="22"/>
                <w:szCs w:val="22"/>
              </w:rPr>
              <w:t>42</w:t>
            </w:r>
          </w:p>
        </w:tc>
        <w:tc>
          <w:tcPr>
            <w:tcW w:w="1843" w:type="dxa"/>
            <w:tcBorders>
              <w:top w:val="single" w:sz="4" w:space="0" w:color="auto"/>
              <w:left w:val="single" w:sz="4" w:space="0" w:color="auto"/>
              <w:bottom w:val="single" w:sz="4" w:space="0" w:color="auto"/>
              <w:right w:val="single" w:sz="4" w:space="0" w:color="auto"/>
            </w:tcBorders>
          </w:tcPr>
          <w:p w14:paraId="43D2F1D2" w14:textId="776F12EA" w:rsidR="007F2D79" w:rsidRPr="00C87818" w:rsidRDefault="001B021D" w:rsidP="5BD2FCF6">
            <w:pPr>
              <w:rPr>
                <w:rFonts w:ascii="Ariel" w:eastAsia="Ariel" w:hAnsi="Ariel" w:cs="Ariel"/>
                <w:sz w:val="22"/>
                <w:szCs w:val="22"/>
              </w:rPr>
            </w:pPr>
            <w:r w:rsidRPr="5BD2FCF6">
              <w:rPr>
                <w:rFonts w:ascii="Ariel" w:eastAsia="Ariel" w:hAnsi="Ariel" w:cs="Ariel"/>
                <w:sz w:val="22"/>
                <w:szCs w:val="22"/>
              </w:rPr>
              <w:t>£</w:t>
            </w:r>
            <w:r w:rsidR="013B2161" w:rsidRPr="5BD2FCF6">
              <w:rPr>
                <w:rFonts w:ascii="Ariel" w:eastAsia="Ariel" w:hAnsi="Ariel" w:cs="Ariel"/>
                <w:color w:val="000000" w:themeColor="text1"/>
                <w:sz w:val="22"/>
                <w:szCs w:val="22"/>
              </w:rPr>
              <w:t>141,693</w:t>
            </w:r>
          </w:p>
        </w:tc>
      </w:tr>
      <w:tr w:rsidR="00DC1CCE" w:rsidRPr="009D0D69" w14:paraId="070BD96B" w14:textId="77777777" w:rsidTr="5BD2FCF6">
        <w:tc>
          <w:tcPr>
            <w:tcW w:w="1701" w:type="dxa"/>
          </w:tcPr>
          <w:p w14:paraId="5BF4AEDD" w14:textId="77777777" w:rsidR="007F2D79" w:rsidRPr="005F24AE" w:rsidRDefault="007F2D79" w:rsidP="585CE774">
            <w:pPr>
              <w:rPr>
                <w:sz w:val="22"/>
                <w:szCs w:val="22"/>
              </w:rPr>
            </w:pPr>
            <w:r w:rsidRPr="5BD2FCF6">
              <w:rPr>
                <w:sz w:val="22"/>
                <w:szCs w:val="22"/>
              </w:rPr>
              <w:t>18</w:t>
            </w:r>
          </w:p>
        </w:tc>
        <w:tc>
          <w:tcPr>
            <w:tcW w:w="1985" w:type="dxa"/>
            <w:tcBorders>
              <w:right w:val="single" w:sz="4" w:space="0" w:color="auto"/>
            </w:tcBorders>
          </w:tcPr>
          <w:p w14:paraId="54E536AA" w14:textId="4B8398C5" w:rsidR="007F2D79" w:rsidRPr="00C87818" w:rsidRDefault="001B021D" w:rsidP="5BD2FCF6">
            <w:pPr>
              <w:rPr>
                <w:rFonts w:ascii="Ariel" w:eastAsia="Ariel" w:hAnsi="Ariel" w:cs="Ariel"/>
                <w:sz w:val="22"/>
                <w:szCs w:val="22"/>
              </w:rPr>
            </w:pPr>
            <w:r w:rsidRPr="5BD2FCF6">
              <w:rPr>
                <w:rFonts w:ascii="Ariel" w:eastAsia="Ariel" w:hAnsi="Ariel" w:cs="Ariel"/>
                <w:b/>
                <w:bCs/>
                <w:sz w:val="22"/>
                <w:szCs w:val="22"/>
              </w:rPr>
              <w:t>£</w:t>
            </w:r>
            <w:r w:rsidR="75A9E080" w:rsidRPr="5BD2FCF6">
              <w:rPr>
                <w:rFonts w:ascii="Ariel" w:eastAsia="Ariel" w:hAnsi="Ariel" w:cs="Ariel"/>
                <w:b/>
                <w:bCs/>
                <w:sz w:val="22"/>
                <w:szCs w:val="22"/>
                <w:shd w:val="clear" w:color="auto" w:fill="FFFFFF"/>
              </w:rPr>
              <w:t>7</w:t>
            </w:r>
            <w:r w:rsidR="24064314" w:rsidRPr="5BD2FCF6">
              <w:rPr>
                <w:rFonts w:ascii="Ariel" w:eastAsia="Ariel" w:hAnsi="Ariel" w:cs="Ariel"/>
                <w:b/>
                <w:bCs/>
                <w:sz w:val="22"/>
                <w:szCs w:val="22"/>
                <w:shd w:val="clear" w:color="auto" w:fill="FFFFFF"/>
              </w:rPr>
              <w:t>8,702</w:t>
            </w:r>
          </w:p>
        </w:tc>
        <w:tc>
          <w:tcPr>
            <w:tcW w:w="1275" w:type="dxa"/>
            <w:tcBorders>
              <w:top w:val="single" w:sz="4" w:space="0" w:color="auto"/>
              <w:left w:val="single" w:sz="4" w:space="0" w:color="auto"/>
              <w:bottom w:val="single" w:sz="4" w:space="0" w:color="auto"/>
              <w:right w:val="single" w:sz="4" w:space="0" w:color="auto"/>
            </w:tcBorders>
          </w:tcPr>
          <w:p w14:paraId="786F048D" w14:textId="77777777" w:rsidR="007F2D79" w:rsidRPr="00C87818" w:rsidRDefault="007F2D79" w:rsidP="585CE774">
            <w:pPr>
              <w:rPr>
                <w:sz w:val="22"/>
                <w:szCs w:val="22"/>
              </w:rPr>
            </w:pPr>
            <w:r w:rsidRPr="5BD2FCF6">
              <w:rPr>
                <w:sz w:val="22"/>
                <w:szCs w:val="22"/>
              </w:rPr>
              <w:t>43</w:t>
            </w:r>
          </w:p>
        </w:tc>
        <w:tc>
          <w:tcPr>
            <w:tcW w:w="1843" w:type="dxa"/>
            <w:tcBorders>
              <w:top w:val="single" w:sz="4" w:space="0" w:color="auto"/>
              <w:left w:val="single" w:sz="4" w:space="0" w:color="auto"/>
              <w:bottom w:val="single" w:sz="4" w:space="0" w:color="auto"/>
              <w:right w:val="single" w:sz="4" w:space="0" w:color="auto"/>
            </w:tcBorders>
          </w:tcPr>
          <w:p w14:paraId="560E8B89" w14:textId="73C5E3F8" w:rsidR="007F2D79" w:rsidRPr="00C87818" w:rsidRDefault="001B021D" w:rsidP="5BD2FCF6">
            <w:pPr>
              <w:rPr>
                <w:b/>
                <w:bCs/>
                <w:sz w:val="22"/>
                <w:szCs w:val="22"/>
              </w:rPr>
            </w:pPr>
            <w:r w:rsidRPr="5BD2FCF6">
              <w:rPr>
                <w:b/>
                <w:bCs/>
                <w:sz w:val="22"/>
                <w:szCs w:val="22"/>
              </w:rPr>
              <w:t>£</w:t>
            </w:r>
            <w:r w:rsidRPr="5BD2FCF6">
              <w:rPr>
                <w:b/>
                <w:bCs/>
                <w:sz w:val="22"/>
                <w:szCs w:val="22"/>
                <w:shd w:val="clear" w:color="auto" w:fill="FFFFFF"/>
              </w:rPr>
              <w:t>1</w:t>
            </w:r>
            <w:r w:rsidR="7CD25E99" w:rsidRPr="5BD2FCF6">
              <w:rPr>
                <w:b/>
                <w:bCs/>
                <w:sz w:val="22"/>
                <w:szCs w:val="22"/>
                <w:shd w:val="clear" w:color="auto" w:fill="FFFFFF"/>
              </w:rPr>
              <w:t>43,796</w:t>
            </w:r>
          </w:p>
        </w:tc>
      </w:tr>
      <w:tr w:rsidR="00DC1CCE" w:rsidRPr="009D0D69" w14:paraId="2A42C84D" w14:textId="77777777" w:rsidTr="5BD2FCF6">
        <w:tc>
          <w:tcPr>
            <w:tcW w:w="1701" w:type="dxa"/>
          </w:tcPr>
          <w:p w14:paraId="6CA09EC2" w14:textId="77777777" w:rsidR="007F2D79" w:rsidRPr="005F24AE" w:rsidRDefault="007F2D79" w:rsidP="585CE774">
            <w:pPr>
              <w:rPr>
                <w:sz w:val="22"/>
                <w:szCs w:val="22"/>
              </w:rPr>
            </w:pPr>
            <w:r w:rsidRPr="5BD2FCF6">
              <w:rPr>
                <w:sz w:val="22"/>
                <w:szCs w:val="22"/>
              </w:rPr>
              <w:t>19</w:t>
            </w:r>
          </w:p>
        </w:tc>
        <w:tc>
          <w:tcPr>
            <w:tcW w:w="1985" w:type="dxa"/>
            <w:tcBorders>
              <w:right w:val="single" w:sz="4" w:space="0" w:color="auto"/>
            </w:tcBorders>
          </w:tcPr>
          <w:p w14:paraId="68F75DDA" w14:textId="169DDC36" w:rsidR="007F2D79" w:rsidRPr="00AF6CB2" w:rsidRDefault="001B021D" w:rsidP="5BD2FCF6">
            <w:pPr>
              <w:rPr>
                <w:rFonts w:ascii="Ariel" w:eastAsia="Ariel" w:hAnsi="Ariel" w:cs="Ariel"/>
                <w:sz w:val="22"/>
                <w:szCs w:val="22"/>
              </w:rPr>
            </w:pPr>
            <w:r w:rsidRPr="5BD2FCF6">
              <w:rPr>
                <w:rFonts w:ascii="Ariel" w:eastAsia="Ariel" w:hAnsi="Ariel" w:cs="Ariel"/>
                <w:sz w:val="22"/>
                <w:szCs w:val="22"/>
              </w:rPr>
              <w:t>£</w:t>
            </w:r>
            <w:r w:rsidR="32FC2A1C" w:rsidRPr="5BD2FCF6">
              <w:rPr>
                <w:rFonts w:ascii="Ariel" w:eastAsia="Ariel" w:hAnsi="Ariel" w:cs="Ariel"/>
                <w:color w:val="000000" w:themeColor="text1"/>
                <w:sz w:val="22"/>
                <w:szCs w:val="22"/>
              </w:rPr>
              <w:t>80,655</w:t>
            </w:r>
          </w:p>
        </w:tc>
        <w:tc>
          <w:tcPr>
            <w:tcW w:w="1275" w:type="dxa"/>
            <w:tcBorders>
              <w:top w:val="single" w:sz="4" w:space="0" w:color="auto"/>
              <w:left w:val="single" w:sz="4" w:space="0" w:color="auto"/>
              <w:bottom w:val="nil"/>
              <w:right w:val="nil"/>
            </w:tcBorders>
          </w:tcPr>
          <w:p w14:paraId="74D86B41" w14:textId="77777777" w:rsidR="007F2D79" w:rsidRPr="00AF6CB2" w:rsidRDefault="007F2D79" w:rsidP="585CE774">
            <w:pPr>
              <w:rPr>
                <w:sz w:val="22"/>
                <w:szCs w:val="22"/>
              </w:rPr>
            </w:pPr>
          </w:p>
        </w:tc>
        <w:tc>
          <w:tcPr>
            <w:tcW w:w="1843" w:type="dxa"/>
            <w:tcBorders>
              <w:top w:val="single" w:sz="4" w:space="0" w:color="auto"/>
              <w:left w:val="nil"/>
              <w:bottom w:val="nil"/>
              <w:right w:val="nil"/>
            </w:tcBorders>
          </w:tcPr>
          <w:p w14:paraId="2D978E81" w14:textId="77777777" w:rsidR="007F2D79" w:rsidRPr="00AF6CB2" w:rsidRDefault="007F2D79" w:rsidP="585CE774">
            <w:pPr>
              <w:rPr>
                <w:sz w:val="22"/>
                <w:szCs w:val="22"/>
              </w:rPr>
            </w:pPr>
          </w:p>
        </w:tc>
      </w:tr>
      <w:tr w:rsidR="00DC1CCE" w:rsidRPr="009D0D69" w14:paraId="7F24CB27" w14:textId="77777777" w:rsidTr="5BD2FCF6">
        <w:tc>
          <w:tcPr>
            <w:tcW w:w="1701" w:type="dxa"/>
          </w:tcPr>
          <w:p w14:paraId="5F0AF8DA" w14:textId="77777777" w:rsidR="007F2D79" w:rsidRPr="005F24AE" w:rsidRDefault="007F2D79" w:rsidP="585CE774">
            <w:pPr>
              <w:rPr>
                <w:sz w:val="22"/>
                <w:szCs w:val="22"/>
              </w:rPr>
            </w:pPr>
            <w:r w:rsidRPr="5BD2FCF6">
              <w:rPr>
                <w:sz w:val="22"/>
                <w:szCs w:val="22"/>
              </w:rPr>
              <w:t>20</w:t>
            </w:r>
          </w:p>
        </w:tc>
        <w:tc>
          <w:tcPr>
            <w:tcW w:w="1985" w:type="dxa"/>
            <w:tcBorders>
              <w:right w:val="single" w:sz="4" w:space="0" w:color="auto"/>
            </w:tcBorders>
          </w:tcPr>
          <w:p w14:paraId="42F9BCF4" w14:textId="48083B77" w:rsidR="007F2D79" w:rsidRPr="00964A76" w:rsidRDefault="001B021D" w:rsidP="5BD2FCF6">
            <w:pPr>
              <w:rPr>
                <w:rFonts w:ascii="Ariel" w:eastAsia="Ariel" w:hAnsi="Ariel" w:cs="Ariel"/>
                <w:sz w:val="22"/>
                <w:szCs w:val="22"/>
              </w:rPr>
            </w:pPr>
            <w:r w:rsidRPr="5BD2FCF6">
              <w:rPr>
                <w:rFonts w:ascii="Ariel" w:eastAsia="Ariel" w:hAnsi="Ariel" w:cs="Ariel"/>
                <w:sz w:val="22"/>
                <w:szCs w:val="22"/>
              </w:rPr>
              <w:t>£</w:t>
            </w:r>
            <w:r w:rsidR="02A8FB49" w:rsidRPr="5BD2FCF6">
              <w:rPr>
                <w:rFonts w:ascii="Ariel" w:eastAsia="Ariel" w:hAnsi="Ariel" w:cs="Ariel"/>
                <w:color w:val="000000" w:themeColor="text1"/>
                <w:sz w:val="22"/>
                <w:szCs w:val="22"/>
              </w:rPr>
              <w:t>82,654</w:t>
            </w:r>
          </w:p>
        </w:tc>
        <w:tc>
          <w:tcPr>
            <w:tcW w:w="1275" w:type="dxa"/>
            <w:tcBorders>
              <w:top w:val="nil"/>
              <w:left w:val="single" w:sz="4" w:space="0" w:color="auto"/>
              <w:bottom w:val="nil"/>
              <w:right w:val="nil"/>
            </w:tcBorders>
          </w:tcPr>
          <w:p w14:paraId="01D2BCDA" w14:textId="77777777" w:rsidR="007F2D79" w:rsidRPr="00964A76" w:rsidRDefault="007F2D79" w:rsidP="585CE774">
            <w:pPr>
              <w:rPr>
                <w:sz w:val="22"/>
                <w:szCs w:val="22"/>
              </w:rPr>
            </w:pPr>
          </w:p>
        </w:tc>
        <w:tc>
          <w:tcPr>
            <w:tcW w:w="1843" w:type="dxa"/>
            <w:tcBorders>
              <w:top w:val="nil"/>
              <w:left w:val="nil"/>
              <w:bottom w:val="nil"/>
              <w:right w:val="nil"/>
            </w:tcBorders>
          </w:tcPr>
          <w:p w14:paraId="0CA3B35E" w14:textId="77777777" w:rsidR="007F2D79" w:rsidRPr="00964A76" w:rsidRDefault="007F2D79" w:rsidP="585CE774">
            <w:pPr>
              <w:rPr>
                <w:sz w:val="22"/>
                <w:szCs w:val="22"/>
              </w:rPr>
            </w:pPr>
          </w:p>
        </w:tc>
      </w:tr>
      <w:tr w:rsidR="00DC1CCE" w:rsidRPr="009D0D69" w14:paraId="0AA7B2A7" w14:textId="77777777" w:rsidTr="5BD2FCF6">
        <w:tc>
          <w:tcPr>
            <w:tcW w:w="1701" w:type="dxa"/>
          </w:tcPr>
          <w:p w14:paraId="41929C3B" w14:textId="77777777" w:rsidR="007F2D79" w:rsidRPr="005F24AE" w:rsidRDefault="007F2D79" w:rsidP="585CE774">
            <w:pPr>
              <w:rPr>
                <w:b/>
                <w:bCs/>
                <w:sz w:val="22"/>
                <w:szCs w:val="22"/>
              </w:rPr>
            </w:pPr>
            <w:r w:rsidRPr="5BD2FCF6">
              <w:rPr>
                <w:b/>
                <w:bCs/>
                <w:sz w:val="22"/>
                <w:szCs w:val="22"/>
              </w:rPr>
              <w:t>21*</w:t>
            </w:r>
          </w:p>
        </w:tc>
        <w:tc>
          <w:tcPr>
            <w:tcW w:w="1985" w:type="dxa"/>
            <w:tcBorders>
              <w:right w:val="single" w:sz="4" w:space="0" w:color="auto"/>
            </w:tcBorders>
          </w:tcPr>
          <w:p w14:paraId="308064EB" w14:textId="55443CAC" w:rsidR="007F2D79" w:rsidRPr="00AF6CB2" w:rsidRDefault="001B021D" w:rsidP="5BD2FCF6">
            <w:pPr>
              <w:rPr>
                <w:rFonts w:ascii="Ariel" w:eastAsia="Ariel" w:hAnsi="Ariel" w:cs="Ariel"/>
                <w:sz w:val="22"/>
                <w:szCs w:val="22"/>
              </w:rPr>
            </w:pPr>
            <w:r w:rsidRPr="5BD2FCF6">
              <w:rPr>
                <w:rFonts w:ascii="Ariel" w:eastAsia="Ariel" w:hAnsi="Ariel" w:cs="Ariel"/>
                <w:b/>
                <w:bCs/>
                <w:sz w:val="22"/>
                <w:szCs w:val="22"/>
              </w:rPr>
              <w:t>£</w:t>
            </w:r>
            <w:r w:rsidR="1AE09B05" w:rsidRPr="5BD2FCF6">
              <w:rPr>
                <w:rFonts w:ascii="Ariel" w:eastAsia="Ariel" w:hAnsi="Ariel" w:cs="Ariel"/>
                <w:b/>
                <w:bCs/>
                <w:sz w:val="22"/>
                <w:szCs w:val="22"/>
                <w:shd w:val="clear" w:color="auto" w:fill="FFFFFF"/>
              </w:rPr>
              <w:t>8</w:t>
            </w:r>
            <w:r w:rsidR="4F93D8AB" w:rsidRPr="5BD2FCF6">
              <w:rPr>
                <w:rFonts w:ascii="Ariel" w:eastAsia="Ariel" w:hAnsi="Ariel" w:cs="Ariel"/>
                <w:b/>
                <w:bCs/>
                <w:sz w:val="22"/>
                <w:szCs w:val="22"/>
                <w:shd w:val="clear" w:color="auto" w:fill="FFFFFF"/>
              </w:rPr>
              <w:t>3,860</w:t>
            </w:r>
          </w:p>
        </w:tc>
        <w:tc>
          <w:tcPr>
            <w:tcW w:w="1275" w:type="dxa"/>
            <w:tcBorders>
              <w:top w:val="nil"/>
              <w:left w:val="single" w:sz="4" w:space="0" w:color="auto"/>
              <w:bottom w:val="nil"/>
              <w:right w:val="nil"/>
            </w:tcBorders>
          </w:tcPr>
          <w:p w14:paraId="48AC4AE9" w14:textId="77777777" w:rsidR="007F2D79" w:rsidRPr="00AF6CB2" w:rsidRDefault="007F2D79" w:rsidP="585CE774">
            <w:pPr>
              <w:rPr>
                <w:sz w:val="22"/>
                <w:szCs w:val="22"/>
              </w:rPr>
            </w:pPr>
          </w:p>
        </w:tc>
        <w:tc>
          <w:tcPr>
            <w:tcW w:w="1843" w:type="dxa"/>
            <w:tcBorders>
              <w:top w:val="nil"/>
              <w:left w:val="nil"/>
              <w:bottom w:val="nil"/>
              <w:right w:val="nil"/>
            </w:tcBorders>
          </w:tcPr>
          <w:p w14:paraId="14C2A7AF" w14:textId="77777777" w:rsidR="007F2D79" w:rsidRPr="00964A76" w:rsidRDefault="007F2D79" w:rsidP="585CE774">
            <w:pPr>
              <w:rPr>
                <w:sz w:val="22"/>
                <w:szCs w:val="22"/>
              </w:rPr>
            </w:pPr>
          </w:p>
        </w:tc>
      </w:tr>
      <w:tr w:rsidR="00DC1CCE" w:rsidRPr="009D0D69" w14:paraId="59D20CFA" w14:textId="77777777" w:rsidTr="5BD2FCF6">
        <w:tc>
          <w:tcPr>
            <w:tcW w:w="1701" w:type="dxa"/>
          </w:tcPr>
          <w:p w14:paraId="5E7D6E7B" w14:textId="77777777" w:rsidR="007F2D79" w:rsidRPr="005F24AE" w:rsidRDefault="007F2D79" w:rsidP="585CE774">
            <w:pPr>
              <w:rPr>
                <w:sz w:val="22"/>
                <w:szCs w:val="22"/>
              </w:rPr>
            </w:pPr>
            <w:r w:rsidRPr="5BD2FCF6">
              <w:rPr>
                <w:sz w:val="22"/>
                <w:szCs w:val="22"/>
              </w:rPr>
              <w:t>21</w:t>
            </w:r>
          </w:p>
        </w:tc>
        <w:tc>
          <w:tcPr>
            <w:tcW w:w="1985" w:type="dxa"/>
            <w:tcBorders>
              <w:right w:val="single" w:sz="4" w:space="0" w:color="auto"/>
            </w:tcBorders>
          </w:tcPr>
          <w:p w14:paraId="0D045F45" w14:textId="53123E04" w:rsidR="007F2D79" w:rsidRPr="00AF6CB2" w:rsidRDefault="001B021D" w:rsidP="5BD2FCF6">
            <w:pPr>
              <w:rPr>
                <w:rFonts w:ascii="Ariel" w:eastAsia="Ariel" w:hAnsi="Ariel" w:cs="Ariel"/>
                <w:sz w:val="22"/>
                <w:szCs w:val="22"/>
              </w:rPr>
            </w:pPr>
            <w:r w:rsidRPr="5BD2FCF6">
              <w:rPr>
                <w:rFonts w:ascii="Ariel" w:eastAsia="Ariel" w:hAnsi="Ariel" w:cs="Ariel"/>
                <w:b/>
                <w:bCs/>
                <w:sz w:val="22"/>
                <w:szCs w:val="22"/>
              </w:rPr>
              <w:t>£</w:t>
            </w:r>
            <w:r w:rsidR="1AE09B05" w:rsidRPr="5BD2FCF6">
              <w:rPr>
                <w:rFonts w:ascii="Ariel" w:eastAsia="Ariel" w:hAnsi="Ariel" w:cs="Ariel"/>
                <w:b/>
                <w:bCs/>
                <w:sz w:val="22"/>
                <w:szCs w:val="22"/>
                <w:shd w:val="clear" w:color="auto" w:fill="FFFFFF"/>
              </w:rPr>
              <w:t>8</w:t>
            </w:r>
            <w:r w:rsidR="244D8D8F" w:rsidRPr="5BD2FCF6">
              <w:rPr>
                <w:rFonts w:ascii="Ariel" w:eastAsia="Ariel" w:hAnsi="Ariel" w:cs="Ariel"/>
                <w:b/>
                <w:bCs/>
                <w:sz w:val="22"/>
                <w:szCs w:val="22"/>
                <w:shd w:val="clear" w:color="auto" w:fill="FFFFFF"/>
              </w:rPr>
              <w:t>4,699</w:t>
            </w:r>
          </w:p>
        </w:tc>
        <w:tc>
          <w:tcPr>
            <w:tcW w:w="1275" w:type="dxa"/>
            <w:tcBorders>
              <w:top w:val="nil"/>
              <w:left w:val="single" w:sz="4" w:space="0" w:color="auto"/>
              <w:bottom w:val="nil"/>
              <w:right w:val="nil"/>
            </w:tcBorders>
          </w:tcPr>
          <w:p w14:paraId="7BC793D5" w14:textId="77777777" w:rsidR="007F2D79" w:rsidRPr="00AF6CB2" w:rsidRDefault="007F2D79" w:rsidP="585CE774">
            <w:pPr>
              <w:rPr>
                <w:sz w:val="22"/>
                <w:szCs w:val="22"/>
              </w:rPr>
            </w:pPr>
          </w:p>
        </w:tc>
        <w:tc>
          <w:tcPr>
            <w:tcW w:w="1843" w:type="dxa"/>
            <w:tcBorders>
              <w:top w:val="nil"/>
              <w:left w:val="nil"/>
              <w:bottom w:val="nil"/>
              <w:right w:val="nil"/>
            </w:tcBorders>
          </w:tcPr>
          <w:p w14:paraId="327F544E" w14:textId="77777777" w:rsidR="007F2D79" w:rsidRPr="00964A76" w:rsidRDefault="007F2D79" w:rsidP="585CE774">
            <w:pPr>
              <w:rPr>
                <w:sz w:val="22"/>
                <w:szCs w:val="22"/>
              </w:rPr>
            </w:pPr>
          </w:p>
        </w:tc>
      </w:tr>
      <w:tr w:rsidR="00DC1CCE" w:rsidRPr="009D0D69" w14:paraId="506E008C" w14:textId="77777777" w:rsidTr="5BD2FCF6">
        <w:tc>
          <w:tcPr>
            <w:tcW w:w="1701" w:type="dxa"/>
          </w:tcPr>
          <w:p w14:paraId="6A48A816" w14:textId="77777777" w:rsidR="007F2D79" w:rsidRPr="005F24AE" w:rsidRDefault="007F2D79" w:rsidP="585CE774">
            <w:pPr>
              <w:rPr>
                <w:sz w:val="22"/>
                <w:szCs w:val="22"/>
              </w:rPr>
            </w:pPr>
            <w:r w:rsidRPr="5BD2FCF6">
              <w:rPr>
                <w:sz w:val="22"/>
                <w:szCs w:val="22"/>
              </w:rPr>
              <w:t>22</w:t>
            </w:r>
          </w:p>
        </w:tc>
        <w:tc>
          <w:tcPr>
            <w:tcW w:w="1985" w:type="dxa"/>
            <w:tcBorders>
              <w:right w:val="single" w:sz="4" w:space="0" w:color="auto"/>
            </w:tcBorders>
          </w:tcPr>
          <w:p w14:paraId="006548F6" w14:textId="4D8F0C42" w:rsidR="007F2D79" w:rsidRPr="00AF6CB2" w:rsidRDefault="001B021D" w:rsidP="5BD2FCF6">
            <w:pPr>
              <w:rPr>
                <w:rFonts w:ascii="Ariel" w:eastAsia="Ariel" w:hAnsi="Ariel" w:cs="Ariel"/>
                <w:sz w:val="22"/>
                <w:szCs w:val="22"/>
              </w:rPr>
            </w:pPr>
            <w:r w:rsidRPr="5BD2FCF6">
              <w:rPr>
                <w:rFonts w:ascii="Ariel" w:eastAsia="Ariel" w:hAnsi="Ariel" w:cs="Ariel"/>
                <w:sz w:val="22"/>
                <w:szCs w:val="22"/>
              </w:rPr>
              <w:t>£</w:t>
            </w:r>
            <w:r w:rsidR="0C0D333C" w:rsidRPr="5BD2FCF6">
              <w:rPr>
                <w:rFonts w:ascii="Ariel" w:eastAsia="Ariel" w:hAnsi="Ariel" w:cs="Ariel"/>
                <w:color w:val="000000" w:themeColor="text1"/>
                <w:sz w:val="22"/>
                <w:szCs w:val="22"/>
              </w:rPr>
              <w:t>86,803</w:t>
            </w:r>
          </w:p>
        </w:tc>
        <w:tc>
          <w:tcPr>
            <w:tcW w:w="1275" w:type="dxa"/>
            <w:tcBorders>
              <w:top w:val="nil"/>
              <w:left w:val="single" w:sz="4" w:space="0" w:color="auto"/>
              <w:bottom w:val="nil"/>
              <w:right w:val="nil"/>
            </w:tcBorders>
          </w:tcPr>
          <w:p w14:paraId="48ACA73C" w14:textId="77777777" w:rsidR="007F2D79" w:rsidRPr="00AF6CB2" w:rsidRDefault="007F2D79" w:rsidP="585CE774">
            <w:pPr>
              <w:rPr>
                <w:sz w:val="22"/>
                <w:szCs w:val="22"/>
              </w:rPr>
            </w:pPr>
          </w:p>
        </w:tc>
        <w:tc>
          <w:tcPr>
            <w:tcW w:w="1843" w:type="dxa"/>
            <w:tcBorders>
              <w:top w:val="nil"/>
              <w:left w:val="nil"/>
              <w:bottom w:val="nil"/>
              <w:right w:val="nil"/>
            </w:tcBorders>
          </w:tcPr>
          <w:p w14:paraId="22988689" w14:textId="77777777" w:rsidR="007F2D79" w:rsidRPr="00964A76" w:rsidRDefault="007F2D79" w:rsidP="585CE774">
            <w:pPr>
              <w:rPr>
                <w:sz w:val="22"/>
                <w:szCs w:val="22"/>
              </w:rPr>
            </w:pPr>
          </w:p>
        </w:tc>
      </w:tr>
      <w:tr w:rsidR="00DC1CCE" w:rsidRPr="009D0D69" w14:paraId="06747063" w14:textId="77777777" w:rsidTr="5BD2FCF6">
        <w:tc>
          <w:tcPr>
            <w:tcW w:w="1701" w:type="dxa"/>
          </w:tcPr>
          <w:p w14:paraId="2717DF57" w14:textId="77777777" w:rsidR="007F2D79" w:rsidRPr="005F24AE" w:rsidRDefault="007F2D79" w:rsidP="585CE774">
            <w:pPr>
              <w:rPr>
                <w:sz w:val="22"/>
                <w:szCs w:val="22"/>
              </w:rPr>
            </w:pPr>
            <w:r w:rsidRPr="5BD2FCF6">
              <w:rPr>
                <w:sz w:val="22"/>
                <w:szCs w:val="22"/>
              </w:rPr>
              <w:t>23</w:t>
            </w:r>
          </w:p>
        </w:tc>
        <w:tc>
          <w:tcPr>
            <w:tcW w:w="1985" w:type="dxa"/>
            <w:tcBorders>
              <w:right w:val="single" w:sz="4" w:space="0" w:color="auto"/>
            </w:tcBorders>
          </w:tcPr>
          <w:p w14:paraId="59DFD655" w14:textId="70883DCC" w:rsidR="007F2D79" w:rsidRPr="00C87818" w:rsidRDefault="001B021D" w:rsidP="5BD2FCF6">
            <w:pPr>
              <w:rPr>
                <w:rFonts w:ascii="Ariel" w:eastAsia="Ariel" w:hAnsi="Ariel" w:cs="Ariel"/>
                <w:sz w:val="22"/>
                <w:szCs w:val="22"/>
              </w:rPr>
            </w:pPr>
            <w:r w:rsidRPr="5BD2FCF6">
              <w:rPr>
                <w:rFonts w:ascii="Ariel" w:eastAsia="Ariel" w:hAnsi="Ariel" w:cs="Ariel"/>
                <w:sz w:val="22"/>
                <w:szCs w:val="22"/>
              </w:rPr>
              <w:t>£</w:t>
            </w:r>
            <w:r w:rsidR="55D3EC1C" w:rsidRPr="5BD2FCF6">
              <w:rPr>
                <w:rFonts w:ascii="Ariel" w:eastAsia="Ariel" w:hAnsi="Ariel" w:cs="Ariel"/>
                <w:color w:val="000000" w:themeColor="text1"/>
                <w:sz w:val="22"/>
                <w:szCs w:val="22"/>
              </w:rPr>
              <w:t>88,951</w:t>
            </w:r>
          </w:p>
        </w:tc>
        <w:tc>
          <w:tcPr>
            <w:tcW w:w="1275" w:type="dxa"/>
            <w:tcBorders>
              <w:top w:val="nil"/>
              <w:left w:val="single" w:sz="4" w:space="0" w:color="auto"/>
              <w:bottom w:val="nil"/>
              <w:right w:val="nil"/>
            </w:tcBorders>
          </w:tcPr>
          <w:p w14:paraId="7B2E70E3" w14:textId="77777777" w:rsidR="007F2D79" w:rsidRPr="00C87818" w:rsidRDefault="007F2D79" w:rsidP="585CE774">
            <w:pPr>
              <w:rPr>
                <w:sz w:val="22"/>
                <w:szCs w:val="22"/>
              </w:rPr>
            </w:pPr>
          </w:p>
        </w:tc>
        <w:tc>
          <w:tcPr>
            <w:tcW w:w="1843" w:type="dxa"/>
            <w:tcBorders>
              <w:top w:val="nil"/>
              <w:left w:val="nil"/>
              <w:bottom w:val="nil"/>
              <w:right w:val="nil"/>
            </w:tcBorders>
          </w:tcPr>
          <w:p w14:paraId="3FADB7E4" w14:textId="77777777" w:rsidR="007F2D79" w:rsidRPr="00964A76" w:rsidRDefault="007F2D79" w:rsidP="585CE774">
            <w:pPr>
              <w:rPr>
                <w:sz w:val="22"/>
                <w:szCs w:val="22"/>
              </w:rPr>
            </w:pPr>
          </w:p>
        </w:tc>
      </w:tr>
      <w:tr w:rsidR="00DC1CCE" w:rsidRPr="009D0D69" w14:paraId="64B46966" w14:textId="77777777" w:rsidTr="5BD2FCF6">
        <w:tc>
          <w:tcPr>
            <w:tcW w:w="1701" w:type="dxa"/>
          </w:tcPr>
          <w:p w14:paraId="3C082F2D" w14:textId="77777777" w:rsidR="007F2D79" w:rsidRPr="005F24AE" w:rsidRDefault="007F2D79" w:rsidP="585CE774">
            <w:pPr>
              <w:rPr>
                <w:b/>
                <w:bCs/>
                <w:sz w:val="22"/>
                <w:szCs w:val="22"/>
              </w:rPr>
            </w:pPr>
            <w:r w:rsidRPr="5BD2FCF6">
              <w:rPr>
                <w:b/>
                <w:bCs/>
                <w:sz w:val="22"/>
                <w:szCs w:val="22"/>
              </w:rPr>
              <w:t>24*</w:t>
            </w:r>
          </w:p>
        </w:tc>
        <w:tc>
          <w:tcPr>
            <w:tcW w:w="1985" w:type="dxa"/>
            <w:tcBorders>
              <w:right w:val="single" w:sz="4" w:space="0" w:color="auto"/>
            </w:tcBorders>
          </w:tcPr>
          <w:p w14:paraId="2106A771" w14:textId="68E6CC90" w:rsidR="007F2D79" w:rsidRPr="00C87818" w:rsidRDefault="001B021D" w:rsidP="5BD2FCF6">
            <w:pPr>
              <w:rPr>
                <w:sz w:val="22"/>
                <w:szCs w:val="22"/>
              </w:rPr>
            </w:pPr>
            <w:r w:rsidRPr="5BD2FCF6">
              <w:rPr>
                <w:b/>
                <w:bCs/>
                <w:sz w:val="22"/>
                <w:szCs w:val="22"/>
              </w:rPr>
              <w:t>£</w:t>
            </w:r>
            <w:r w:rsidR="7A63F64D" w:rsidRPr="5BD2FCF6">
              <w:rPr>
                <w:b/>
                <w:bCs/>
                <w:sz w:val="22"/>
                <w:szCs w:val="22"/>
                <w:shd w:val="clear" w:color="auto" w:fill="FFFFFF"/>
              </w:rPr>
              <w:t>90,255</w:t>
            </w:r>
          </w:p>
        </w:tc>
        <w:tc>
          <w:tcPr>
            <w:tcW w:w="1275" w:type="dxa"/>
            <w:tcBorders>
              <w:top w:val="nil"/>
              <w:left w:val="single" w:sz="4" w:space="0" w:color="auto"/>
              <w:bottom w:val="nil"/>
              <w:right w:val="nil"/>
            </w:tcBorders>
          </w:tcPr>
          <w:p w14:paraId="17526894" w14:textId="77777777" w:rsidR="007F2D79" w:rsidRPr="00C87818" w:rsidRDefault="007F2D79" w:rsidP="585CE774">
            <w:pPr>
              <w:rPr>
                <w:sz w:val="22"/>
                <w:szCs w:val="22"/>
              </w:rPr>
            </w:pPr>
          </w:p>
        </w:tc>
        <w:tc>
          <w:tcPr>
            <w:tcW w:w="1843" w:type="dxa"/>
            <w:tcBorders>
              <w:top w:val="nil"/>
              <w:left w:val="nil"/>
              <w:bottom w:val="nil"/>
              <w:right w:val="nil"/>
            </w:tcBorders>
          </w:tcPr>
          <w:p w14:paraId="4F82B707" w14:textId="77777777" w:rsidR="007F2D79" w:rsidRPr="00964A76" w:rsidRDefault="007F2D79" w:rsidP="585CE774">
            <w:pPr>
              <w:rPr>
                <w:sz w:val="22"/>
                <w:szCs w:val="22"/>
              </w:rPr>
            </w:pPr>
          </w:p>
        </w:tc>
      </w:tr>
      <w:tr w:rsidR="00DC1CCE" w:rsidRPr="009D0D69" w14:paraId="65380BDE" w14:textId="77777777" w:rsidTr="5BD2FCF6">
        <w:tc>
          <w:tcPr>
            <w:tcW w:w="1701" w:type="dxa"/>
          </w:tcPr>
          <w:p w14:paraId="783C506F" w14:textId="77777777" w:rsidR="007F2D79" w:rsidRPr="005F24AE" w:rsidRDefault="007F2D79" w:rsidP="585CE774">
            <w:pPr>
              <w:rPr>
                <w:sz w:val="22"/>
                <w:szCs w:val="22"/>
              </w:rPr>
            </w:pPr>
            <w:r w:rsidRPr="5BD2FCF6">
              <w:rPr>
                <w:sz w:val="22"/>
                <w:szCs w:val="22"/>
              </w:rPr>
              <w:t>24</w:t>
            </w:r>
          </w:p>
        </w:tc>
        <w:tc>
          <w:tcPr>
            <w:tcW w:w="1985" w:type="dxa"/>
            <w:tcBorders>
              <w:right w:val="single" w:sz="4" w:space="0" w:color="auto"/>
            </w:tcBorders>
          </w:tcPr>
          <w:p w14:paraId="3CE69F1F" w14:textId="4797B9EE" w:rsidR="007F2D79" w:rsidRPr="00C87818" w:rsidRDefault="001B021D" w:rsidP="5BD2FCF6">
            <w:pPr>
              <w:rPr>
                <w:rFonts w:ascii="Ariel" w:eastAsia="Ariel" w:hAnsi="Ariel" w:cs="Ariel"/>
                <w:b/>
                <w:bCs/>
                <w:sz w:val="22"/>
                <w:szCs w:val="22"/>
              </w:rPr>
            </w:pPr>
            <w:r w:rsidRPr="5BD2FCF6">
              <w:rPr>
                <w:rFonts w:ascii="Ariel" w:eastAsia="Ariel" w:hAnsi="Ariel" w:cs="Ariel"/>
                <w:b/>
                <w:bCs/>
                <w:sz w:val="22"/>
                <w:szCs w:val="22"/>
              </w:rPr>
              <w:t>£</w:t>
            </w:r>
            <w:r w:rsidR="440A3EAC" w:rsidRPr="5BD2FCF6">
              <w:rPr>
                <w:rFonts w:ascii="Ariel" w:eastAsia="Ariel" w:hAnsi="Ariel" w:cs="Ariel"/>
                <w:b/>
                <w:bCs/>
                <w:sz w:val="22"/>
                <w:szCs w:val="22"/>
              </w:rPr>
              <w:t>91,158</w:t>
            </w:r>
          </w:p>
        </w:tc>
        <w:tc>
          <w:tcPr>
            <w:tcW w:w="1275" w:type="dxa"/>
            <w:tcBorders>
              <w:top w:val="nil"/>
              <w:left w:val="single" w:sz="4" w:space="0" w:color="auto"/>
              <w:bottom w:val="nil"/>
              <w:right w:val="nil"/>
            </w:tcBorders>
          </w:tcPr>
          <w:p w14:paraId="76733835" w14:textId="77777777" w:rsidR="007F2D79" w:rsidRPr="00C87818" w:rsidRDefault="007F2D79" w:rsidP="585CE774">
            <w:pPr>
              <w:rPr>
                <w:sz w:val="22"/>
                <w:szCs w:val="22"/>
              </w:rPr>
            </w:pPr>
          </w:p>
        </w:tc>
        <w:tc>
          <w:tcPr>
            <w:tcW w:w="1843" w:type="dxa"/>
            <w:tcBorders>
              <w:top w:val="nil"/>
              <w:left w:val="nil"/>
              <w:bottom w:val="nil"/>
              <w:right w:val="nil"/>
            </w:tcBorders>
          </w:tcPr>
          <w:p w14:paraId="3D404230" w14:textId="77777777" w:rsidR="007F2D79" w:rsidRPr="00964A76" w:rsidRDefault="007F2D79" w:rsidP="585CE774">
            <w:pPr>
              <w:rPr>
                <w:sz w:val="22"/>
                <w:szCs w:val="22"/>
              </w:rPr>
            </w:pPr>
          </w:p>
        </w:tc>
      </w:tr>
      <w:tr w:rsidR="00DC1CCE" w:rsidRPr="009D0D69" w14:paraId="3681FB81" w14:textId="77777777" w:rsidTr="5BD2FCF6">
        <w:tc>
          <w:tcPr>
            <w:tcW w:w="1701" w:type="dxa"/>
          </w:tcPr>
          <w:p w14:paraId="322C3B16" w14:textId="77777777" w:rsidR="007F2D79" w:rsidRPr="005F24AE" w:rsidRDefault="007F2D79" w:rsidP="585CE774">
            <w:pPr>
              <w:rPr>
                <w:sz w:val="22"/>
                <w:szCs w:val="22"/>
              </w:rPr>
            </w:pPr>
            <w:r w:rsidRPr="5BD2FCF6">
              <w:rPr>
                <w:sz w:val="22"/>
                <w:szCs w:val="22"/>
              </w:rPr>
              <w:t>25</w:t>
            </w:r>
          </w:p>
        </w:tc>
        <w:tc>
          <w:tcPr>
            <w:tcW w:w="1985" w:type="dxa"/>
            <w:tcBorders>
              <w:right w:val="single" w:sz="4" w:space="0" w:color="auto"/>
            </w:tcBorders>
          </w:tcPr>
          <w:p w14:paraId="65E382FF" w14:textId="02F60F3A" w:rsidR="007F2D79" w:rsidRPr="00C87818" w:rsidRDefault="001B021D" w:rsidP="5BD2FCF6">
            <w:pPr>
              <w:rPr>
                <w:rFonts w:ascii="Ariel" w:eastAsia="Ariel" w:hAnsi="Ariel" w:cs="Ariel"/>
                <w:sz w:val="22"/>
                <w:szCs w:val="22"/>
              </w:rPr>
            </w:pPr>
            <w:r w:rsidRPr="5BD2FCF6">
              <w:rPr>
                <w:rFonts w:ascii="Ariel" w:eastAsia="Ariel" w:hAnsi="Ariel" w:cs="Ariel"/>
                <w:sz w:val="22"/>
                <w:szCs w:val="22"/>
              </w:rPr>
              <w:t>£</w:t>
            </w:r>
            <w:r w:rsidR="4BF4C120" w:rsidRPr="5BD2FCF6">
              <w:rPr>
                <w:rFonts w:ascii="Ariel" w:eastAsia="Ariel" w:hAnsi="Ariel" w:cs="Ariel"/>
                <w:color w:val="000000" w:themeColor="text1"/>
                <w:sz w:val="22"/>
                <w:szCs w:val="22"/>
              </w:rPr>
              <w:t>93,424</w:t>
            </w:r>
          </w:p>
        </w:tc>
        <w:tc>
          <w:tcPr>
            <w:tcW w:w="1275" w:type="dxa"/>
            <w:tcBorders>
              <w:top w:val="nil"/>
              <w:left w:val="single" w:sz="4" w:space="0" w:color="auto"/>
              <w:bottom w:val="nil"/>
              <w:right w:val="nil"/>
            </w:tcBorders>
          </w:tcPr>
          <w:p w14:paraId="64255FD4" w14:textId="77777777" w:rsidR="007F2D79" w:rsidRPr="00C87818" w:rsidRDefault="007F2D79" w:rsidP="585CE774">
            <w:pPr>
              <w:rPr>
                <w:sz w:val="22"/>
                <w:szCs w:val="22"/>
              </w:rPr>
            </w:pPr>
          </w:p>
        </w:tc>
        <w:tc>
          <w:tcPr>
            <w:tcW w:w="1843" w:type="dxa"/>
            <w:tcBorders>
              <w:top w:val="nil"/>
              <w:left w:val="nil"/>
              <w:bottom w:val="nil"/>
              <w:right w:val="nil"/>
            </w:tcBorders>
          </w:tcPr>
          <w:p w14:paraId="08DA3723" w14:textId="77777777" w:rsidR="007F2D79" w:rsidRPr="00AF6CB2" w:rsidRDefault="007F2D79" w:rsidP="585CE774">
            <w:pPr>
              <w:rPr>
                <w:sz w:val="22"/>
                <w:szCs w:val="22"/>
              </w:rPr>
            </w:pPr>
          </w:p>
        </w:tc>
      </w:tr>
      <w:tr w:rsidR="00DC1CCE" w:rsidRPr="009D0D69" w14:paraId="6A6E727F" w14:textId="77777777" w:rsidTr="5BD2FCF6">
        <w:tc>
          <w:tcPr>
            <w:tcW w:w="1701" w:type="dxa"/>
          </w:tcPr>
          <w:p w14:paraId="339A49C6" w14:textId="77777777" w:rsidR="007F2D79" w:rsidRPr="005F24AE" w:rsidRDefault="007F2D79" w:rsidP="585CE774">
            <w:pPr>
              <w:rPr>
                <w:sz w:val="22"/>
                <w:szCs w:val="22"/>
              </w:rPr>
            </w:pPr>
            <w:r w:rsidRPr="5BD2FCF6">
              <w:rPr>
                <w:sz w:val="22"/>
                <w:szCs w:val="22"/>
              </w:rPr>
              <w:t>26</w:t>
            </w:r>
          </w:p>
        </w:tc>
        <w:tc>
          <w:tcPr>
            <w:tcW w:w="1985" w:type="dxa"/>
            <w:tcBorders>
              <w:right w:val="single" w:sz="4" w:space="0" w:color="auto"/>
            </w:tcBorders>
          </w:tcPr>
          <w:p w14:paraId="410CF677" w14:textId="7EB31451" w:rsidR="007F2D79" w:rsidRPr="00C87818" w:rsidRDefault="001B021D" w:rsidP="5BD2FCF6">
            <w:pPr>
              <w:rPr>
                <w:rFonts w:ascii="Ariel" w:eastAsia="Ariel" w:hAnsi="Ariel" w:cs="Ariel"/>
                <w:sz w:val="22"/>
                <w:szCs w:val="22"/>
              </w:rPr>
            </w:pPr>
            <w:r w:rsidRPr="5BD2FCF6">
              <w:rPr>
                <w:rFonts w:ascii="Ariel" w:eastAsia="Ariel" w:hAnsi="Ariel" w:cs="Ariel"/>
                <w:sz w:val="22"/>
                <w:szCs w:val="22"/>
              </w:rPr>
              <w:t>£</w:t>
            </w:r>
            <w:r w:rsidR="5AB1AF30" w:rsidRPr="5BD2FCF6">
              <w:rPr>
                <w:rFonts w:ascii="Ariel" w:eastAsia="Ariel" w:hAnsi="Ariel" w:cs="Ariel"/>
                <w:color w:val="000000" w:themeColor="text1"/>
                <w:sz w:val="22"/>
                <w:szCs w:val="22"/>
              </w:rPr>
              <w:t>95,735</w:t>
            </w:r>
          </w:p>
        </w:tc>
        <w:tc>
          <w:tcPr>
            <w:tcW w:w="1275" w:type="dxa"/>
            <w:tcBorders>
              <w:top w:val="nil"/>
              <w:left w:val="single" w:sz="4" w:space="0" w:color="auto"/>
              <w:bottom w:val="nil"/>
              <w:right w:val="nil"/>
            </w:tcBorders>
          </w:tcPr>
          <w:p w14:paraId="2957FC4A" w14:textId="77777777" w:rsidR="007F2D79" w:rsidRPr="00C87818" w:rsidRDefault="007F2D79" w:rsidP="585CE774">
            <w:pPr>
              <w:rPr>
                <w:sz w:val="22"/>
                <w:szCs w:val="22"/>
              </w:rPr>
            </w:pPr>
          </w:p>
        </w:tc>
        <w:tc>
          <w:tcPr>
            <w:tcW w:w="1843" w:type="dxa"/>
            <w:tcBorders>
              <w:top w:val="nil"/>
              <w:left w:val="nil"/>
              <w:bottom w:val="nil"/>
              <w:right w:val="nil"/>
            </w:tcBorders>
          </w:tcPr>
          <w:p w14:paraId="2F765A2E" w14:textId="77777777" w:rsidR="007F2D79" w:rsidRPr="00964A76" w:rsidRDefault="007F2D79" w:rsidP="585CE774">
            <w:pPr>
              <w:rPr>
                <w:sz w:val="22"/>
                <w:szCs w:val="22"/>
              </w:rPr>
            </w:pPr>
          </w:p>
        </w:tc>
      </w:tr>
      <w:tr w:rsidR="00DC1CCE" w:rsidRPr="009D0D69" w14:paraId="277A7F1C" w14:textId="77777777" w:rsidTr="5BD2FCF6">
        <w:tc>
          <w:tcPr>
            <w:tcW w:w="1701" w:type="dxa"/>
          </w:tcPr>
          <w:p w14:paraId="2A2B5F89" w14:textId="77777777" w:rsidR="007F2D79" w:rsidRPr="005F24AE" w:rsidRDefault="007F2D79" w:rsidP="585CE774">
            <w:pPr>
              <w:rPr>
                <w:sz w:val="22"/>
                <w:szCs w:val="22"/>
              </w:rPr>
            </w:pPr>
            <w:r w:rsidRPr="5BD2FCF6">
              <w:rPr>
                <w:b/>
                <w:bCs/>
                <w:sz w:val="22"/>
                <w:szCs w:val="22"/>
              </w:rPr>
              <w:t>27</w:t>
            </w:r>
            <w:r w:rsidRPr="5BD2FCF6">
              <w:rPr>
                <w:sz w:val="22"/>
                <w:szCs w:val="22"/>
              </w:rPr>
              <w:t>*</w:t>
            </w:r>
          </w:p>
        </w:tc>
        <w:tc>
          <w:tcPr>
            <w:tcW w:w="1985" w:type="dxa"/>
            <w:tcBorders>
              <w:right w:val="single" w:sz="4" w:space="0" w:color="auto"/>
            </w:tcBorders>
          </w:tcPr>
          <w:p w14:paraId="5CFCC5BD" w14:textId="341855F9" w:rsidR="007F2D79" w:rsidRPr="00C87818" w:rsidRDefault="001B021D" w:rsidP="5BD2FCF6">
            <w:pPr>
              <w:rPr>
                <w:rFonts w:ascii="Ariel" w:eastAsia="Ariel" w:hAnsi="Ariel" w:cs="Ariel"/>
                <w:sz w:val="22"/>
                <w:szCs w:val="22"/>
              </w:rPr>
            </w:pPr>
            <w:r w:rsidRPr="5BD2FCF6">
              <w:rPr>
                <w:rFonts w:ascii="Ariel" w:eastAsia="Ariel" w:hAnsi="Ariel" w:cs="Ariel"/>
                <w:b/>
                <w:bCs/>
                <w:sz w:val="22"/>
                <w:szCs w:val="22"/>
              </w:rPr>
              <w:t>£</w:t>
            </w:r>
            <w:r w:rsidR="1044E40E" w:rsidRPr="5BD2FCF6">
              <w:rPr>
                <w:rFonts w:ascii="Ariel" w:eastAsia="Ariel" w:hAnsi="Ariel" w:cs="Ariel"/>
                <w:b/>
                <w:bCs/>
                <w:sz w:val="22"/>
                <w:szCs w:val="22"/>
                <w:shd w:val="clear" w:color="auto" w:fill="FFFFFF"/>
              </w:rPr>
              <w:t>9</w:t>
            </w:r>
            <w:r w:rsidR="2E5B43FE" w:rsidRPr="5BD2FCF6">
              <w:rPr>
                <w:rFonts w:ascii="Ariel" w:eastAsia="Ariel" w:hAnsi="Ariel" w:cs="Ariel"/>
                <w:b/>
                <w:bCs/>
                <w:sz w:val="22"/>
                <w:szCs w:val="22"/>
                <w:shd w:val="clear" w:color="auto" w:fill="FFFFFF"/>
              </w:rPr>
              <w:t>7,136</w:t>
            </w:r>
          </w:p>
        </w:tc>
        <w:tc>
          <w:tcPr>
            <w:tcW w:w="1275" w:type="dxa"/>
            <w:tcBorders>
              <w:top w:val="nil"/>
              <w:left w:val="single" w:sz="4" w:space="0" w:color="auto"/>
              <w:bottom w:val="nil"/>
              <w:right w:val="nil"/>
            </w:tcBorders>
          </w:tcPr>
          <w:p w14:paraId="683ABBA0" w14:textId="77777777" w:rsidR="007F2D79" w:rsidRPr="00C87818" w:rsidRDefault="007F2D79" w:rsidP="585CE774">
            <w:pPr>
              <w:rPr>
                <w:sz w:val="22"/>
                <w:szCs w:val="22"/>
              </w:rPr>
            </w:pPr>
          </w:p>
        </w:tc>
        <w:tc>
          <w:tcPr>
            <w:tcW w:w="1843" w:type="dxa"/>
            <w:tcBorders>
              <w:top w:val="nil"/>
              <w:left w:val="nil"/>
              <w:bottom w:val="nil"/>
              <w:right w:val="nil"/>
            </w:tcBorders>
          </w:tcPr>
          <w:p w14:paraId="303CCC68" w14:textId="77777777" w:rsidR="007F2D79" w:rsidRPr="00964A76" w:rsidRDefault="007F2D79" w:rsidP="585CE774">
            <w:pPr>
              <w:rPr>
                <w:sz w:val="22"/>
                <w:szCs w:val="22"/>
              </w:rPr>
            </w:pPr>
          </w:p>
        </w:tc>
      </w:tr>
      <w:tr w:rsidR="007F2D79" w:rsidRPr="009D0D69" w14:paraId="72B455D3" w14:textId="77777777" w:rsidTr="5BD2FCF6">
        <w:tc>
          <w:tcPr>
            <w:tcW w:w="1701" w:type="dxa"/>
          </w:tcPr>
          <w:p w14:paraId="216B1A08" w14:textId="77777777" w:rsidR="007F2D79" w:rsidRPr="005F24AE" w:rsidRDefault="007F2D79" w:rsidP="585CE774">
            <w:pPr>
              <w:rPr>
                <w:sz w:val="22"/>
                <w:szCs w:val="22"/>
              </w:rPr>
            </w:pPr>
            <w:r w:rsidRPr="5BD2FCF6">
              <w:rPr>
                <w:sz w:val="22"/>
                <w:szCs w:val="22"/>
              </w:rPr>
              <w:t>27</w:t>
            </w:r>
          </w:p>
        </w:tc>
        <w:tc>
          <w:tcPr>
            <w:tcW w:w="1985" w:type="dxa"/>
            <w:tcBorders>
              <w:right w:val="single" w:sz="4" w:space="0" w:color="auto"/>
            </w:tcBorders>
          </w:tcPr>
          <w:p w14:paraId="24D27BFA" w14:textId="2E4E8297" w:rsidR="007F2D79" w:rsidRPr="00C87818" w:rsidRDefault="001B021D" w:rsidP="5BD2FCF6">
            <w:pPr>
              <w:rPr>
                <w:rFonts w:ascii="Ariel" w:eastAsia="Ariel" w:hAnsi="Ariel" w:cs="Ariel"/>
                <w:sz w:val="22"/>
                <w:szCs w:val="22"/>
              </w:rPr>
            </w:pPr>
            <w:r w:rsidRPr="5BD2FCF6">
              <w:rPr>
                <w:rFonts w:ascii="Ariel" w:eastAsia="Ariel" w:hAnsi="Ariel" w:cs="Ariel"/>
                <w:sz w:val="22"/>
                <w:szCs w:val="22"/>
              </w:rPr>
              <w:t>£</w:t>
            </w:r>
            <w:r w:rsidR="53759B20" w:rsidRPr="5BD2FCF6">
              <w:rPr>
                <w:rFonts w:ascii="Ariel" w:eastAsia="Ariel" w:hAnsi="Ariel" w:cs="Ariel"/>
                <w:color w:val="000000" w:themeColor="text1"/>
                <w:sz w:val="22"/>
                <w:szCs w:val="22"/>
              </w:rPr>
              <w:t>98,106</w:t>
            </w:r>
          </w:p>
        </w:tc>
        <w:tc>
          <w:tcPr>
            <w:tcW w:w="1275" w:type="dxa"/>
            <w:tcBorders>
              <w:top w:val="nil"/>
              <w:left w:val="single" w:sz="4" w:space="0" w:color="auto"/>
              <w:bottom w:val="nil"/>
              <w:right w:val="nil"/>
            </w:tcBorders>
          </w:tcPr>
          <w:p w14:paraId="39EADBD8" w14:textId="77777777" w:rsidR="007F2D79" w:rsidRPr="00C87818" w:rsidRDefault="007F2D79" w:rsidP="585CE774">
            <w:pPr>
              <w:rPr>
                <w:sz w:val="22"/>
                <w:szCs w:val="22"/>
              </w:rPr>
            </w:pPr>
          </w:p>
        </w:tc>
        <w:tc>
          <w:tcPr>
            <w:tcW w:w="1843" w:type="dxa"/>
            <w:tcBorders>
              <w:top w:val="nil"/>
              <w:left w:val="nil"/>
              <w:bottom w:val="nil"/>
              <w:right w:val="nil"/>
            </w:tcBorders>
          </w:tcPr>
          <w:p w14:paraId="0200C5E3" w14:textId="77777777" w:rsidR="007F2D79" w:rsidRPr="00AF6CB2" w:rsidRDefault="007F2D79" w:rsidP="585CE774">
            <w:pPr>
              <w:rPr>
                <w:sz w:val="22"/>
                <w:szCs w:val="22"/>
              </w:rPr>
            </w:pPr>
          </w:p>
        </w:tc>
      </w:tr>
    </w:tbl>
    <w:p w14:paraId="0B4D80FC" w14:textId="77777777" w:rsidR="007F2D79" w:rsidRPr="009D0D69" w:rsidRDefault="007F2D79" w:rsidP="585CE774">
      <w:pPr>
        <w:rPr>
          <w:sz w:val="22"/>
          <w:szCs w:val="22"/>
        </w:rPr>
      </w:pPr>
    </w:p>
    <w:p w14:paraId="3759FB5F" w14:textId="085479E5" w:rsidR="007F2D79" w:rsidRPr="009D0D69" w:rsidRDefault="007F2D79" w:rsidP="585CE774">
      <w:pPr>
        <w:ind w:left="720"/>
        <w:rPr>
          <w:sz w:val="22"/>
          <w:szCs w:val="22"/>
        </w:rPr>
      </w:pPr>
      <w:r w:rsidRPr="6BEBBADE">
        <w:rPr>
          <w:sz w:val="22"/>
          <w:szCs w:val="22"/>
        </w:rPr>
        <w:t>*Scale points apply only to Headteachers at the top of the school group range in the academic year 202</w:t>
      </w:r>
      <w:r w:rsidR="6F3DFBE1" w:rsidRPr="6BEBBADE">
        <w:rPr>
          <w:sz w:val="22"/>
          <w:szCs w:val="22"/>
        </w:rPr>
        <w:t>5</w:t>
      </w:r>
      <w:r w:rsidR="001B021D" w:rsidRPr="6BEBBADE">
        <w:rPr>
          <w:sz w:val="22"/>
          <w:szCs w:val="22"/>
        </w:rPr>
        <w:t>/</w:t>
      </w:r>
      <w:r w:rsidR="67BA6F97" w:rsidRPr="6BEBBADE">
        <w:rPr>
          <w:sz w:val="22"/>
          <w:szCs w:val="22"/>
        </w:rPr>
        <w:t>26</w:t>
      </w:r>
      <w:r w:rsidRPr="6BEBBADE">
        <w:rPr>
          <w:sz w:val="22"/>
          <w:szCs w:val="22"/>
        </w:rPr>
        <w:t>.</w:t>
      </w:r>
    </w:p>
    <w:p w14:paraId="627A90E5" w14:textId="77777777" w:rsidR="00E44B0A" w:rsidRPr="009D0D69" w:rsidRDefault="00E44B0A" w:rsidP="585CE774">
      <w:pPr>
        <w:rPr>
          <w:b/>
          <w:bCs/>
          <w:sz w:val="22"/>
          <w:szCs w:val="22"/>
        </w:rPr>
      </w:pPr>
    </w:p>
    <w:p w14:paraId="37256F29" w14:textId="77777777" w:rsidR="00E44B0A" w:rsidRPr="009D0D69" w:rsidRDefault="00E44B0A" w:rsidP="585CE774">
      <w:pPr>
        <w:rPr>
          <w:b/>
          <w:bCs/>
          <w:sz w:val="22"/>
          <w:szCs w:val="22"/>
        </w:rPr>
      </w:pPr>
    </w:p>
    <w:p w14:paraId="75381D9D" w14:textId="572C665D" w:rsidR="00E44B0A" w:rsidRPr="009D0D69" w:rsidRDefault="00E44B0A" w:rsidP="00AD0FCE">
      <w:pPr>
        <w:ind w:firstLine="720"/>
        <w:rPr>
          <w:b/>
          <w:bCs/>
          <w:sz w:val="22"/>
          <w:szCs w:val="22"/>
        </w:rPr>
      </w:pPr>
      <w:bookmarkStart w:id="49" w:name="MainPR"/>
      <w:r w:rsidRPr="585CE774">
        <w:rPr>
          <w:b/>
          <w:bCs/>
          <w:sz w:val="22"/>
          <w:szCs w:val="22"/>
        </w:rPr>
        <w:t>Main Pay Range</w:t>
      </w:r>
    </w:p>
    <w:bookmarkEnd w:id="49"/>
    <w:p w14:paraId="708B2F26" w14:textId="77777777" w:rsidR="00E44B0A" w:rsidRPr="009D0D69" w:rsidRDefault="00E44B0A" w:rsidP="585CE774">
      <w:pPr>
        <w:rPr>
          <w:b/>
          <w:bCs/>
          <w:sz w:val="22"/>
          <w:szCs w:val="22"/>
        </w:rPr>
      </w:pPr>
    </w:p>
    <w:p w14:paraId="11B55C72" w14:textId="6BB4AB8A" w:rsidR="00E44B0A" w:rsidRPr="009D0D69" w:rsidRDefault="00E44B0A" w:rsidP="585CE774">
      <w:pPr>
        <w:ind w:left="720"/>
        <w:rPr>
          <w:sz w:val="22"/>
          <w:szCs w:val="22"/>
        </w:rPr>
      </w:pPr>
      <w:r w:rsidRPr="6BEBBADE">
        <w:rPr>
          <w:sz w:val="22"/>
          <w:szCs w:val="22"/>
        </w:rPr>
        <w:t>The Main Pay range for 202</w:t>
      </w:r>
      <w:r w:rsidR="7D15D978" w:rsidRPr="6BEBBADE">
        <w:rPr>
          <w:sz w:val="22"/>
          <w:szCs w:val="22"/>
        </w:rPr>
        <w:t>5</w:t>
      </w:r>
      <w:r w:rsidRPr="6BEBBADE">
        <w:rPr>
          <w:sz w:val="22"/>
          <w:szCs w:val="22"/>
        </w:rPr>
        <w:t xml:space="preserve"> is:</w:t>
      </w:r>
    </w:p>
    <w:p w14:paraId="75A83363" w14:textId="77777777" w:rsidR="00E44B0A" w:rsidRPr="009D0D69" w:rsidRDefault="00E44B0A" w:rsidP="585CE774">
      <w:pPr>
        <w:rPr>
          <w:sz w:val="22"/>
          <w:szCs w:val="22"/>
        </w:rPr>
      </w:pPr>
    </w:p>
    <w:tbl>
      <w:tblPr>
        <w:tblW w:w="0" w:type="auto"/>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992"/>
        <w:gridCol w:w="4111"/>
      </w:tblGrid>
      <w:tr w:rsidR="00DC1CCE" w:rsidRPr="009D0D69" w14:paraId="067FC25D" w14:textId="77777777" w:rsidTr="5BD2FCF6">
        <w:tc>
          <w:tcPr>
            <w:tcW w:w="2268" w:type="dxa"/>
            <w:tcBorders>
              <w:right w:val="nil"/>
            </w:tcBorders>
          </w:tcPr>
          <w:p w14:paraId="50C86316" w14:textId="77777777" w:rsidR="00E44B0A" w:rsidRPr="009D0D69" w:rsidRDefault="00E44B0A" w:rsidP="585CE774">
            <w:pPr>
              <w:jc w:val="center"/>
              <w:rPr>
                <w:rFonts w:eastAsia="Calibri"/>
                <w:b/>
                <w:bCs/>
                <w:sz w:val="22"/>
                <w:szCs w:val="22"/>
              </w:rPr>
            </w:pPr>
            <w:r w:rsidRPr="585CE774">
              <w:rPr>
                <w:rFonts w:eastAsia="Calibri"/>
                <w:b/>
                <w:bCs/>
                <w:sz w:val="22"/>
                <w:szCs w:val="22"/>
              </w:rPr>
              <w:t>Point</w:t>
            </w:r>
          </w:p>
        </w:tc>
        <w:tc>
          <w:tcPr>
            <w:tcW w:w="992" w:type="dxa"/>
            <w:tcBorders>
              <w:left w:val="nil"/>
            </w:tcBorders>
          </w:tcPr>
          <w:p w14:paraId="328E223A" w14:textId="77777777" w:rsidR="00E44B0A" w:rsidRPr="009D0D69" w:rsidRDefault="00E44B0A" w:rsidP="585CE774">
            <w:pPr>
              <w:rPr>
                <w:rFonts w:eastAsia="Calibri"/>
                <w:sz w:val="22"/>
                <w:szCs w:val="22"/>
              </w:rPr>
            </w:pPr>
          </w:p>
        </w:tc>
        <w:tc>
          <w:tcPr>
            <w:tcW w:w="4111" w:type="dxa"/>
          </w:tcPr>
          <w:p w14:paraId="11C3DFBE" w14:textId="77777777" w:rsidR="00E44B0A" w:rsidRPr="009D0D69" w:rsidRDefault="00E44B0A" w:rsidP="585CE774">
            <w:pPr>
              <w:jc w:val="center"/>
              <w:rPr>
                <w:rFonts w:eastAsia="Calibri"/>
                <w:b/>
                <w:bCs/>
                <w:sz w:val="22"/>
                <w:szCs w:val="22"/>
              </w:rPr>
            </w:pPr>
            <w:r w:rsidRPr="585CE774">
              <w:rPr>
                <w:rFonts w:eastAsia="Calibri"/>
                <w:b/>
                <w:bCs/>
                <w:sz w:val="22"/>
                <w:szCs w:val="22"/>
              </w:rPr>
              <w:t>Salary</w:t>
            </w:r>
          </w:p>
          <w:p w14:paraId="226B393E" w14:textId="77777777" w:rsidR="00E44B0A" w:rsidRPr="009D0D69" w:rsidRDefault="00E44B0A" w:rsidP="585CE774">
            <w:pPr>
              <w:jc w:val="center"/>
              <w:rPr>
                <w:rFonts w:eastAsia="Calibri"/>
                <w:sz w:val="22"/>
                <w:szCs w:val="22"/>
              </w:rPr>
            </w:pPr>
          </w:p>
        </w:tc>
      </w:tr>
      <w:tr w:rsidR="00DC1CCE" w:rsidRPr="009D0D69" w14:paraId="7E6CA814" w14:textId="77777777" w:rsidTr="5BD2FCF6">
        <w:tc>
          <w:tcPr>
            <w:tcW w:w="2268" w:type="dxa"/>
          </w:tcPr>
          <w:p w14:paraId="6E501E28" w14:textId="77777777" w:rsidR="00E44B0A" w:rsidRPr="009D0D69" w:rsidRDefault="00E44B0A" w:rsidP="585CE774">
            <w:pPr>
              <w:rPr>
                <w:rFonts w:eastAsia="Calibri"/>
                <w:b/>
                <w:bCs/>
                <w:sz w:val="22"/>
                <w:szCs w:val="22"/>
              </w:rPr>
            </w:pPr>
            <w:r w:rsidRPr="585CE774">
              <w:rPr>
                <w:rFonts w:eastAsia="Calibri"/>
                <w:b/>
                <w:bCs/>
                <w:sz w:val="22"/>
                <w:szCs w:val="22"/>
              </w:rPr>
              <w:lastRenderedPageBreak/>
              <w:t>Minimum</w:t>
            </w:r>
            <w:r>
              <w:tab/>
            </w:r>
          </w:p>
        </w:tc>
        <w:tc>
          <w:tcPr>
            <w:tcW w:w="992" w:type="dxa"/>
          </w:tcPr>
          <w:p w14:paraId="12A1E376" w14:textId="77777777" w:rsidR="00E44B0A" w:rsidRPr="009D0D69" w:rsidRDefault="00E44B0A" w:rsidP="585CE774">
            <w:pPr>
              <w:rPr>
                <w:rFonts w:eastAsia="Calibri"/>
                <w:sz w:val="22"/>
                <w:szCs w:val="22"/>
              </w:rPr>
            </w:pPr>
            <w:r w:rsidRPr="585CE774">
              <w:rPr>
                <w:rFonts w:eastAsia="Calibri"/>
                <w:sz w:val="22"/>
                <w:szCs w:val="22"/>
              </w:rPr>
              <w:t>M1</w:t>
            </w:r>
          </w:p>
        </w:tc>
        <w:tc>
          <w:tcPr>
            <w:tcW w:w="4111" w:type="dxa"/>
          </w:tcPr>
          <w:p w14:paraId="679FF451" w14:textId="0D8AE830" w:rsidR="00E44B0A" w:rsidRPr="004330CB" w:rsidRDefault="1DFB67C3" w:rsidP="5BD2FCF6">
            <w:pPr>
              <w:rPr>
                <w:rFonts w:eastAsia="Calibri"/>
                <w:sz w:val="22"/>
                <w:szCs w:val="22"/>
              </w:rPr>
            </w:pPr>
            <w:r w:rsidRPr="5BD2FCF6">
              <w:rPr>
                <w:rFonts w:eastAsia="Calibri"/>
                <w:sz w:val="22"/>
                <w:szCs w:val="22"/>
              </w:rPr>
              <w:t>£</w:t>
            </w:r>
            <w:r w:rsidR="17667268" w:rsidRPr="5BD2FCF6">
              <w:rPr>
                <w:sz w:val="22"/>
                <w:szCs w:val="22"/>
              </w:rPr>
              <w:t>3</w:t>
            </w:r>
            <w:r w:rsidR="784B1A30" w:rsidRPr="5BD2FCF6">
              <w:rPr>
                <w:sz w:val="22"/>
                <w:szCs w:val="22"/>
              </w:rPr>
              <w:t>2,916</w:t>
            </w:r>
          </w:p>
        </w:tc>
      </w:tr>
      <w:tr w:rsidR="00DC1CCE" w:rsidRPr="009D0D69" w14:paraId="7FD94BAE" w14:textId="77777777" w:rsidTr="5BD2FCF6">
        <w:tc>
          <w:tcPr>
            <w:tcW w:w="2268" w:type="dxa"/>
          </w:tcPr>
          <w:p w14:paraId="2979139C" w14:textId="26301316" w:rsidR="00E44B0A" w:rsidRPr="009D0D69" w:rsidRDefault="00E44B0A" w:rsidP="585CE774">
            <w:pPr>
              <w:rPr>
                <w:rFonts w:eastAsia="Calibri"/>
                <w:sz w:val="22"/>
                <w:szCs w:val="22"/>
              </w:rPr>
            </w:pPr>
          </w:p>
        </w:tc>
        <w:tc>
          <w:tcPr>
            <w:tcW w:w="992" w:type="dxa"/>
          </w:tcPr>
          <w:p w14:paraId="24F20364" w14:textId="77777777" w:rsidR="00E44B0A" w:rsidRPr="009D0D69" w:rsidRDefault="00E44B0A" w:rsidP="585CE774">
            <w:pPr>
              <w:rPr>
                <w:rFonts w:eastAsia="Calibri"/>
                <w:sz w:val="22"/>
                <w:szCs w:val="22"/>
              </w:rPr>
            </w:pPr>
            <w:r w:rsidRPr="585CE774">
              <w:rPr>
                <w:rFonts w:eastAsia="Calibri"/>
                <w:sz w:val="22"/>
                <w:szCs w:val="22"/>
              </w:rPr>
              <w:t>M2</w:t>
            </w:r>
          </w:p>
        </w:tc>
        <w:tc>
          <w:tcPr>
            <w:tcW w:w="4111" w:type="dxa"/>
          </w:tcPr>
          <w:p w14:paraId="7378E43F" w14:textId="50DE36D8" w:rsidR="00E44B0A" w:rsidRPr="004330CB" w:rsidRDefault="1DFB67C3" w:rsidP="5BD2FCF6">
            <w:pPr>
              <w:rPr>
                <w:sz w:val="22"/>
                <w:szCs w:val="22"/>
              </w:rPr>
            </w:pPr>
            <w:r w:rsidRPr="5BD2FCF6">
              <w:rPr>
                <w:rFonts w:eastAsia="Calibri"/>
                <w:sz w:val="22"/>
                <w:szCs w:val="22"/>
              </w:rPr>
              <w:t>£</w:t>
            </w:r>
            <w:r w:rsidR="60C0F9B9" w:rsidRPr="5BD2FCF6">
              <w:rPr>
                <w:sz w:val="22"/>
                <w:szCs w:val="22"/>
              </w:rPr>
              <w:t>3</w:t>
            </w:r>
            <w:r w:rsidR="01C20F49" w:rsidRPr="5BD2FCF6">
              <w:rPr>
                <w:sz w:val="22"/>
                <w:szCs w:val="22"/>
              </w:rPr>
              <w:t>4,823</w:t>
            </w:r>
          </w:p>
        </w:tc>
      </w:tr>
      <w:tr w:rsidR="00DC1CCE" w:rsidRPr="009D0D69" w14:paraId="7ABEBA09" w14:textId="77777777" w:rsidTr="5BD2FCF6">
        <w:tc>
          <w:tcPr>
            <w:tcW w:w="2268" w:type="dxa"/>
          </w:tcPr>
          <w:p w14:paraId="4E3949B9" w14:textId="77777777" w:rsidR="00E44B0A" w:rsidRPr="009D0D69" w:rsidRDefault="00E44B0A" w:rsidP="585CE774">
            <w:pPr>
              <w:rPr>
                <w:rFonts w:eastAsia="Calibri"/>
                <w:sz w:val="22"/>
                <w:szCs w:val="22"/>
              </w:rPr>
            </w:pPr>
          </w:p>
        </w:tc>
        <w:tc>
          <w:tcPr>
            <w:tcW w:w="992" w:type="dxa"/>
          </w:tcPr>
          <w:p w14:paraId="06CE0D43" w14:textId="77777777" w:rsidR="00E44B0A" w:rsidRPr="009D0D69" w:rsidRDefault="00E44B0A" w:rsidP="585CE774">
            <w:pPr>
              <w:rPr>
                <w:rFonts w:eastAsia="Calibri"/>
                <w:sz w:val="22"/>
                <w:szCs w:val="22"/>
              </w:rPr>
            </w:pPr>
            <w:r w:rsidRPr="585CE774">
              <w:rPr>
                <w:rFonts w:eastAsia="Calibri"/>
                <w:sz w:val="22"/>
                <w:szCs w:val="22"/>
              </w:rPr>
              <w:t>M3</w:t>
            </w:r>
          </w:p>
        </w:tc>
        <w:tc>
          <w:tcPr>
            <w:tcW w:w="4111" w:type="dxa"/>
          </w:tcPr>
          <w:p w14:paraId="29DF68A8" w14:textId="3C9EA479" w:rsidR="00E44B0A" w:rsidRPr="004330CB" w:rsidRDefault="1DFB67C3" w:rsidP="5BD2FCF6">
            <w:pPr>
              <w:rPr>
                <w:sz w:val="22"/>
                <w:szCs w:val="22"/>
              </w:rPr>
            </w:pPr>
            <w:r w:rsidRPr="5BD2FCF6">
              <w:rPr>
                <w:rFonts w:eastAsia="Calibri"/>
                <w:sz w:val="22"/>
                <w:szCs w:val="22"/>
              </w:rPr>
              <w:t>£</w:t>
            </w:r>
            <w:r w:rsidR="6E91AADE" w:rsidRPr="5BD2FCF6">
              <w:rPr>
                <w:sz w:val="22"/>
                <w:szCs w:val="22"/>
              </w:rPr>
              <w:t>3</w:t>
            </w:r>
            <w:r w:rsidR="23FFB2F0" w:rsidRPr="5BD2FCF6">
              <w:rPr>
                <w:sz w:val="22"/>
                <w:szCs w:val="22"/>
              </w:rPr>
              <w:t>7,101</w:t>
            </w:r>
          </w:p>
        </w:tc>
      </w:tr>
      <w:tr w:rsidR="00DC1CCE" w:rsidRPr="009D0D69" w14:paraId="1C0D222C" w14:textId="77777777" w:rsidTr="5BD2FCF6">
        <w:tc>
          <w:tcPr>
            <w:tcW w:w="2268" w:type="dxa"/>
          </w:tcPr>
          <w:p w14:paraId="01F3F6A4" w14:textId="77777777" w:rsidR="00E44B0A" w:rsidRPr="009D0D69" w:rsidRDefault="00E44B0A" w:rsidP="585CE774">
            <w:pPr>
              <w:rPr>
                <w:rFonts w:eastAsia="Calibri"/>
                <w:sz w:val="22"/>
                <w:szCs w:val="22"/>
              </w:rPr>
            </w:pPr>
          </w:p>
        </w:tc>
        <w:tc>
          <w:tcPr>
            <w:tcW w:w="992" w:type="dxa"/>
          </w:tcPr>
          <w:p w14:paraId="07499F5D" w14:textId="77777777" w:rsidR="00E44B0A" w:rsidRPr="009D0D69" w:rsidRDefault="00E44B0A" w:rsidP="585CE774">
            <w:pPr>
              <w:rPr>
                <w:rFonts w:eastAsia="Calibri"/>
                <w:sz w:val="22"/>
                <w:szCs w:val="22"/>
              </w:rPr>
            </w:pPr>
            <w:r w:rsidRPr="585CE774">
              <w:rPr>
                <w:rFonts w:eastAsia="Calibri"/>
                <w:sz w:val="22"/>
                <w:szCs w:val="22"/>
              </w:rPr>
              <w:t>M4</w:t>
            </w:r>
          </w:p>
        </w:tc>
        <w:tc>
          <w:tcPr>
            <w:tcW w:w="4111" w:type="dxa"/>
          </w:tcPr>
          <w:p w14:paraId="2E736597" w14:textId="56A49EA2" w:rsidR="00E44B0A" w:rsidRPr="004330CB" w:rsidRDefault="1DFB67C3" w:rsidP="5BD2FCF6">
            <w:pPr>
              <w:rPr>
                <w:rFonts w:eastAsia="Calibri"/>
                <w:sz w:val="22"/>
                <w:szCs w:val="22"/>
              </w:rPr>
            </w:pPr>
            <w:r w:rsidRPr="5BD2FCF6">
              <w:rPr>
                <w:rFonts w:eastAsia="Calibri"/>
                <w:sz w:val="22"/>
                <w:szCs w:val="22"/>
              </w:rPr>
              <w:t>£</w:t>
            </w:r>
            <w:r w:rsidR="0DD54481" w:rsidRPr="5BD2FCF6">
              <w:rPr>
                <w:rFonts w:eastAsia="Calibri"/>
                <w:sz w:val="22"/>
                <w:szCs w:val="22"/>
              </w:rPr>
              <w:t>39,556</w:t>
            </w:r>
          </w:p>
        </w:tc>
      </w:tr>
      <w:tr w:rsidR="00DC1CCE" w:rsidRPr="009D0D69" w14:paraId="78B5A031" w14:textId="77777777" w:rsidTr="5BD2FCF6">
        <w:tc>
          <w:tcPr>
            <w:tcW w:w="2268" w:type="dxa"/>
          </w:tcPr>
          <w:p w14:paraId="3EE4B1C9" w14:textId="77777777" w:rsidR="00E44B0A" w:rsidRPr="009D0D69" w:rsidRDefault="00E44B0A" w:rsidP="585CE774">
            <w:pPr>
              <w:rPr>
                <w:rFonts w:eastAsia="Calibri"/>
                <w:sz w:val="22"/>
                <w:szCs w:val="22"/>
              </w:rPr>
            </w:pPr>
          </w:p>
        </w:tc>
        <w:tc>
          <w:tcPr>
            <w:tcW w:w="992" w:type="dxa"/>
          </w:tcPr>
          <w:p w14:paraId="66854C43" w14:textId="77777777" w:rsidR="00E44B0A" w:rsidRPr="009D0D69" w:rsidRDefault="00E44B0A" w:rsidP="585CE774">
            <w:pPr>
              <w:rPr>
                <w:rFonts w:eastAsia="Calibri"/>
                <w:sz w:val="22"/>
                <w:szCs w:val="22"/>
              </w:rPr>
            </w:pPr>
            <w:r w:rsidRPr="585CE774">
              <w:rPr>
                <w:rFonts w:eastAsia="Calibri"/>
                <w:sz w:val="22"/>
                <w:szCs w:val="22"/>
              </w:rPr>
              <w:t>M5</w:t>
            </w:r>
          </w:p>
        </w:tc>
        <w:tc>
          <w:tcPr>
            <w:tcW w:w="4111" w:type="dxa"/>
          </w:tcPr>
          <w:p w14:paraId="22CB9F93" w14:textId="756AF1FE" w:rsidR="00E44B0A" w:rsidRPr="004330CB" w:rsidRDefault="1DFB67C3" w:rsidP="5BD2FCF6">
            <w:pPr>
              <w:rPr>
                <w:rFonts w:eastAsia="Calibri"/>
                <w:sz w:val="22"/>
                <w:szCs w:val="22"/>
              </w:rPr>
            </w:pPr>
            <w:r w:rsidRPr="5BD2FCF6">
              <w:rPr>
                <w:rFonts w:eastAsia="Calibri"/>
                <w:sz w:val="22"/>
                <w:szCs w:val="22"/>
              </w:rPr>
              <w:t>£</w:t>
            </w:r>
            <w:r w:rsidR="5BD4221D" w:rsidRPr="5BD2FCF6">
              <w:rPr>
                <w:rFonts w:eastAsia="Calibri"/>
                <w:sz w:val="22"/>
                <w:szCs w:val="22"/>
              </w:rPr>
              <w:t>42,057</w:t>
            </w:r>
          </w:p>
        </w:tc>
      </w:tr>
      <w:tr w:rsidR="00E44B0A" w:rsidRPr="009D0D69" w14:paraId="5289C942" w14:textId="77777777" w:rsidTr="5BD2FCF6">
        <w:tc>
          <w:tcPr>
            <w:tcW w:w="2268" w:type="dxa"/>
          </w:tcPr>
          <w:p w14:paraId="6ACF772D" w14:textId="77777777" w:rsidR="00E44B0A" w:rsidRPr="009D0D69" w:rsidRDefault="00E44B0A" w:rsidP="585CE774">
            <w:pPr>
              <w:rPr>
                <w:rFonts w:eastAsia="Calibri"/>
                <w:b/>
                <w:bCs/>
                <w:sz w:val="22"/>
                <w:szCs w:val="22"/>
              </w:rPr>
            </w:pPr>
            <w:r w:rsidRPr="585CE774">
              <w:rPr>
                <w:rFonts w:eastAsia="Calibri"/>
                <w:b/>
                <w:bCs/>
                <w:sz w:val="22"/>
                <w:szCs w:val="22"/>
              </w:rPr>
              <w:t>Maximum</w:t>
            </w:r>
          </w:p>
        </w:tc>
        <w:tc>
          <w:tcPr>
            <w:tcW w:w="992" w:type="dxa"/>
          </w:tcPr>
          <w:p w14:paraId="341BF175" w14:textId="77777777" w:rsidR="00E44B0A" w:rsidRPr="009D0D69" w:rsidRDefault="00E44B0A" w:rsidP="585CE774">
            <w:pPr>
              <w:rPr>
                <w:rFonts w:eastAsia="Calibri"/>
                <w:sz w:val="22"/>
                <w:szCs w:val="22"/>
              </w:rPr>
            </w:pPr>
            <w:r w:rsidRPr="585CE774">
              <w:rPr>
                <w:rFonts w:eastAsia="Calibri"/>
                <w:sz w:val="22"/>
                <w:szCs w:val="22"/>
              </w:rPr>
              <w:t>M6</w:t>
            </w:r>
          </w:p>
        </w:tc>
        <w:tc>
          <w:tcPr>
            <w:tcW w:w="4111" w:type="dxa"/>
          </w:tcPr>
          <w:p w14:paraId="2F0AF5F0" w14:textId="04285453" w:rsidR="00E44B0A" w:rsidRPr="004330CB" w:rsidRDefault="1DFB67C3" w:rsidP="5BD2FCF6">
            <w:pPr>
              <w:rPr>
                <w:rFonts w:eastAsia="Calibri"/>
                <w:sz w:val="22"/>
                <w:szCs w:val="22"/>
              </w:rPr>
            </w:pPr>
            <w:r w:rsidRPr="5BD2FCF6">
              <w:rPr>
                <w:rFonts w:eastAsia="Calibri"/>
                <w:sz w:val="22"/>
                <w:szCs w:val="22"/>
              </w:rPr>
              <w:t>£</w:t>
            </w:r>
            <w:r w:rsidRPr="5BD2FCF6">
              <w:rPr>
                <w:sz w:val="22"/>
                <w:szCs w:val="22"/>
              </w:rPr>
              <w:t>4</w:t>
            </w:r>
            <w:r w:rsidR="460B33F3" w:rsidRPr="5BD2FCF6">
              <w:rPr>
                <w:sz w:val="22"/>
                <w:szCs w:val="22"/>
              </w:rPr>
              <w:t>5,352</w:t>
            </w:r>
          </w:p>
        </w:tc>
      </w:tr>
    </w:tbl>
    <w:p w14:paraId="032BAA32" w14:textId="77777777" w:rsidR="00E44B0A" w:rsidRPr="009D0D69" w:rsidRDefault="00E44B0A" w:rsidP="585CE774">
      <w:pPr>
        <w:rPr>
          <w:b/>
          <w:bCs/>
          <w:sz w:val="22"/>
          <w:szCs w:val="22"/>
        </w:rPr>
      </w:pPr>
    </w:p>
    <w:p w14:paraId="1368D5E9" w14:textId="77777777" w:rsidR="00487F8B" w:rsidRPr="009D0D69" w:rsidRDefault="00487F8B" w:rsidP="585CE774">
      <w:pPr>
        <w:ind w:left="1440"/>
        <w:jc w:val="right"/>
        <w:rPr>
          <w:sz w:val="22"/>
          <w:szCs w:val="22"/>
        </w:rPr>
      </w:pPr>
    </w:p>
    <w:p w14:paraId="64352CFA" w14:textId="1D58ED83" w:rsidR="006227DF" w:rsidRPr="009D0D69" w:rsidRDefault="00482892" w:rsidP="00AD0FCE">
      <w:pPr>
        <w:ind w:firstLine="720"/>
        <w:rPr>
          <w:b/>
          <w:bCs/>
          <w:sz w:val="22"/>
          <w:szCs w:val="22"/>
        </w:rPr>
      </w:pPr>
      <w:bookmarkStart w:id="50" w:name="UPR"/>
      <w:r w:rsidRPr="585CE774">
        <w:rPr>
          <w:b/>
          <w:bCs/>
          <w:sz w:val="22"/>
          <w:szCs w:val="22"/>
        </w:rPr>
        <w:t>Upper Pay Range</w:t>
      </w:r>
      <w:bookmarkEnd w:id="50"/>
    </w:p>
    <w:p w14:paraId="53CC6A4D" w14:textId="77777777" w:rsidR="00482892" w:rsidRPr="009D0D69" w:rsidRDefault="00482892" w:rsidP="585CE774">
      <w:pPr>
        <w:rPr>
          <w:sz w:val="22"/>
          <w:szCs w:val="22"/>
        </w:rPr>
      </w:pPr>
    </w:p>
    <w:p w14:paraId="33E82FB8" w14:textId="68883694" w:rsidR="00482892" w:rsidRPr="009D0D69" w:rsidRDefault="00482892" w:rsidP="585CE774">
      <w:pPr>
        <w:ind w:left="720"/>
        <w:rPr>
          <w:sz w:val="22"/>
          <w:szCs w:val="22"/>
        </w:rPr>
      </w:pPr>
      <w:r w:rsidRPr="6BEBBADE">
        <w:rPr>
          <w:sz w:val="22"/>
          <w:szCs w:val="22"/>
        </w:rPr>
        <w:t>The Upper pay range for 202</w:t>
      </w:r>
      <w:r w:rsidR="5164EA10" w:rsidRPr="6BEBBADE">
        <w:rPr>
          <w:sz w:val="22"/>
          <w:szCs w:val="22"/>
        </w:rPr>
        <w:t>5</w:t>
      </w:r>
      <w:r w:rsidRPr="6BEBBADE">
        <w:rPr>
          <w:sz w:val="22"/>
          <w:szCs w:val="22"/>
        </w:rPr>
        <w:t xml:space="preserve"> is:</w:t>
      </w:r>
    </w:p>
    <w:p w14:paraId="6D7B81EE" w14:textId="77777777" w:rsidR="00482892" w:rsidRPr="009D0D69" w:rsidRDefault="00482892" w:rsidP="585CE774">
      <w:pPr>
        <w:ind w:left="720"/>
        <w:rPr>
          <w:sz w:val="22"/>
          <w:szCs w:val="22"/>
        </w:rPr>
      </w:pPr>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992"/>
        <w:gridCol w:w="3111"/>
      </w:tblGrid>
      <w:tr w:rsidR="00DC1CCE" w:rsidRPr="009D0D69" w14:paraId="1E638536" w14:textId="77777777" w:rsidTr="5BD2FCF6">
        <w:tc>
          <w:tcPr>
            <w:tcW w:w="2268" w:type="dxa"/>
            <w:tcBorders>
              <w:right w:val="nil"/>
            </w:tcBorders>
          </w:tcPr>
          <w:p w14:paraId="36346A5E" w14:textId="77777777" w:rsidR="00482892" w:rsidRPr="009D0D69" w:rsidRDefault="00482892" w:rsidP="585CE774">
            <w:pPr>
              <w:jc w:val="center"/>
              <w:rPr>
                <w:rFonts w:eastAsia="Calibri"/>
                <w:b/>
                <w:bCs/>
                <w:sz w:val="22"/>
                <w:szCs w:val="22"/>
              </w:rPr>
            </w:pPr>
            <w:r w:rsidRPr="585CE774">
              <w:rPr>
                <w:rFonts w:eastAsia="Calibri"/>
                <w:b/>
                <w:bCs/>
                <w:sz w:val="22"/>
                <w:szCs w:val="22"/>
              </w:rPr>
              <w:t>Point</w:t>
            </w:r>
          </w:p>
        </w:tc>
        <w:tc>
          <w:tcPr>
            <w:tcW w:w="992" w:type="dxa"/>
            <w:tcBorders>
              <w:left w:val="nil"/>
            </w:tcBorders>
          </w:tcPr>
          <w:p w14:paraId="13E16900" w14:textId="77777777" w:rsidR="00482892" w:rsidRPr="009D0D69" w:rsidRDefault="00482892" w:rsidP="585CE774">
            <w:pPr>
              <w:rPr>
                <w:rFonts w:eastAsia="Calibri"/>
                <w:sz w:val="22"/>
                <w:szCs w:val="22"/>
              </w:rPr>
            </w:pPr>
          </w:p>
        </w:tc>
        <w:tc>
          <w:tcPr>
            <w:tcW w:w="3111" w:type="dxa"/>
          </w:tcPr>
          <w:p w14:paraId="4985D81A" w14:textId="77777777" w:rsidR="00482892" w:rsidRPr="009D0D69" w:rsidRDefault="00482892" w:rsidP="585CE774">
            <w:pPr>
              <w:jc w:val="center"/>
              <w:rPr>
                <w:rFonts w:eastAsia="Calibri"/>
                <w:b/>
                <w:bCs/>
                <w:sz w:val="22"/>
                <w:szCs w:val="22"/>
              </w:rPr>
            </w:pPr>
            <w:r w:rsidRPr="5BD2FCF6">
              <w:rPr>
                <w:rFonts w:eastAsia="Calibri"/>
                <w:b/>
                <w:bCs/>
                <w:sz w:val="22"/>
                <w:szCs w:val="22"/>
              </w:rPr>
              <w:t>Salary</w:t>
            </w:r>
          </w:p>
          <w:p w14:paraId="2EC032A4" w14:textId="77777777" w:rsidR="00482892" w:rsidRPr="009D0D69" w:rsidRDefault="00482892" w:rsidP="585CE774">
            <w:pPr>
              <w:jc w:val="center"/>
              <w:rPr>
                <w:rFonts w:eastAsia="Calibri"/>
                <w:sz w:val="22"/>
                <w:szCs w:val="22"/>
              </w:rPr>
            </w:pPr>
          </w:p>
        </w:tc>
      </w:tr>
      <w:tr w:rsidR="00DC1CCE" w:rsidRPr="009D0D69" w14:paraId="61C84B21" w14:textId="77777777" w:rsidTr="5BD2FCF6">
        <w:tc>
          <w:tcPr>
            <w:tcW w:w="2268" w:type="dxa"/>
          </w:tcPr>
          <w:p w14:paraId="6AFA34F8" w14:textId="77777777" w:rsidR="00482892" w:rsidRPr="009D0D69" w:rsidRDefault="00482892" w:rsidP="585CE774">
            <w:pPr>
              <w:rPr>
                <w:rFonts w:eastAsia="Calibri"/>
                <w:b/>
                <w:bCs/>
                <w:sz w:val="22"/>
                <w:szCs w:val="22"/>
              </w:rPr>
            </w:pPr>
            <w:r w:rsidRPr="585CE774">
              <w:rPr>
                <w:rFonts w:eastAsia="Calibri"/>
                <w:b/>
                <w:bCs/>
                <w:sz w:val="22"/>
                <w:szCs w:val="22"/>
              </w:rPr>
              <w:t>Minimum</w:t>
            </w:r>
            <w:r>
              <w:tab/>
            </w:r>
          </w:p>
        </w:tc>
        <w:tc>
          <w:tcPr>
            <w:tcW w:w="992" w:type="dxa"/>
          </w:tcPr>
          <w:p w14:paraId="1BCEEB75" w14:textId="77777777" w:rsidR="00482892" w:rsidRPr="009D0D69" w:rsidRDefault="00482892" w:rsidP="585CE774">
            <w:pPr>
              <w:rPr>
                <w:rFonts w:eastAsia="Calibri"/>
                <w:sz w:val="22"/>
                <w:szCs w:val="22"/>
              </w:rPr>
            </w:pPr>
            <w:r w:rsidRPr="585CE774">
              <w:rPr>
                <w:rFonts w:eastAsia="Calibri"/>
                <w:sz w:val="22"/>
                <w:szCs w:val="22"/>
              </w:rPr>
              <w:t>U1</w:t>
            </w:r>
          </w:p>
        </w:tc>
        <w:tc>
          <w:tcPr>
            <w:tcW w:w="3111" w:type="dxa"/>
          </w:tcPr>
          <w:p w14:paraId="6C2BA791" w14:textId="01F8A3D3" w:rsidR="00482892" w:rsidRPr="004330CB" w:rsidRDefault="386125FF" w:rsidP="5BD2FCF6">
            <w:pPr>
              <w:rPr>
                <w:rFonts w:eastAsia="Calibri"/>
                <w:sz w:val="22"/>
                <w:szCs w:val="22"/>
              </w:rPr>
            </w:pPr>
            <w:r w:rsidRPr="5BD2FCF6">
              <w:rPr>
                <w:rFonts w:eastAsia="Calibri"/>
                <w:sz w:val="22"/>
                <w:szCs w:val="22"/>
              </w:rPr>
              <w:t>£</w:t>
            </w:r>
            <w:r w:rsidRPr="5BD2FCF6">
              <w:rPr>
                <w:sz w:val="22"/>
                <w:szCs w:val="22"/>
              </w:rPr>
              <w:t>4</w:t>
            </w:r>
            <w:r w:rsidR="1E3C3240" w:rsidRPr="5BD2FCF6">
              <w:rPr>
                <w:sz w:val="22"/>
                <w:szCs w:val="22"/>
              </w:rPr>
              <w:t>7,472</w:t>
            </w:r>
          </w:p>
        </w:tc>
      </w:tr>
      <w:tr w:rsidR="00DC1CCE" w:rsidRPr="009D0D69" w14:paraId="22D94C11" w14:textId="77777777" w:rsidTr="5BD2FCF6">
        <w:tc>
          <w:tcPr>
            <w:tcW w:w="2268" w:type="dxa"/>
          </w:tcPr>
          <w:p w14:paraId="5BF708BA" w14:textId="4C2AFAD1" w:rsidR="00482892" w:rsidRPr="009D0D69" w:rsidRDefault="00482892" w:rsidP="585CE774">
            <w:pPr>
              <w:rPr>
                <w:rFonts w:eastAsia="Calibri"/>
                <w:sz w:val="22"/>
                <w:szCs w:val="22"/>
              </w:rPr>
            </w:pPr>
          </w:p>
        </w:tc>
        <w:tc>
          <w:tcPr>
            <w:tcW w:w="992" w:type="dxa"/>
          </w:tcPr>
          <w:p w14:paraId="2F16BC4F" w14:textId="77777777" w:rsidR="00482892" w:rsidRPr="009D0D69" w:rsidRDefault="00482892" w:rsidP="585CE774">
            <w:pPr>
              <w:rPr>
                <w:rFonts w:eastAsia="Calibri"/>
                <w:sz w:val="22"/>
                <w:szCs w:val="22"/>
              </w:rPr>
            </w:pPr>
            <w:r w:rsidRPr="585CE774">
              <w:rPr>
                <w:rFonts w:eastAsia="Calibri"/>
                <w:sz w:val="22"/>
                <w:szCs w:val="22"/>
              </w:rPr>
              <w:t>U2</w:t>
            </w:r>
          </w:p>
        </w:tc>
        <w:tc>
          <w:tcPr>
            <w:tcW w:w="3111" w:type="dxa"/>
          </w:tcPr>
          <w:p w14:paraId="1642FC64" w14:textId="052BC728" w:rsidR="00482892" w:rsidRPr="004330CB" w:rsidRDefault="386125FF" w:rsidP="5BD2FCF6">
            <w:pPr>
              <w:rPr>
                <w:sz w:val="22"/>
                <w:szCs w:val="22"/>
              </w:rPr>
            </w:pPr>
            <w:r w:rsidRPr="5BD2FCF6">
              <w:rPr>
                <w:rFonts w:eastAsia="Calibri"/>
                <w:sz w:val="22"/>
                <w:szCs w:val="22"/>
              </w:rPr>
              <w:t>£</w:t>
            </w:r>
            <w:r w:rsidRPr="5BD2FCF6">
              <w:rPr>
                <w:sz w:val="22"/>
                <w:szCs w:val="22"/>
              </w:rPr>
              <w:t>4</w:t>
            </w:r>
            <w:r w:rsidR="13661D55" w:rsidRPr="5BD2FCF6">
              <w:rPr>
                <w:sz w:val="22"/>
                <w:szCs w:val="22"/>
              </w:rPr>
              <w:t>9,232</w:t>
            </w:r>
          </w:p>
        </w:tc>
      </w:tr>
      <w:tr w:rsidR="00482892" w:rsidRPr="009D0D69" w14:paraId="49D492F3" w14:textId="77777777" w:rsidTr="5BD2FCF6">
        <w:tc>
          <w:tcPr>
            <w:tcW w:w="2268" w:type="dxa"/>
          </w:tcPr>
          <w:p w14:paraId="0547E373" w14:textId="77777777" w:rsidR="00482892" w:rsidRPr="009D0D69" w:rsidRDefault="00482892" w:rsidP="585CE774">
            <w:pPr>
              <w:rPr>
                <w:rFonts w:eastAsia="Calibri"/>
                <w:b/>
                <w:bCs/>
                <w:sz w:val="22"/>
                <w:szCs w:val="22"/>
              </w:rPr>
            </w:pPr>
            <w:r w:rsidRPr="585CE774">
              <w:rPr>
                <w:rFonts w:eastAsia="Calibri"/>
                <w:b/>
                <w:bCs/>
                <w:sz w:val="22"/>
                <w:szCs w:val="22"/>
              </w:rPr>
              <w:t>Maximum</w:t>
            </w:r>
          </w:p>
        </w:tc>
        <w:tc>
          <w:tcPr>
            <w:tcW w:w="992" w:type="dxa"/>
          </w:tcPr>
          <w:p w14:paraId="31ED59E4" w14:textId="77777777" w:rsidR="00482892" w:rsidRPr="009D0D69" w:rsidRDefault="00482892" w:rsidP="585CE774">
            <w:pPr>
              <w:rPr>
                <w:rFonts w:eastAsia="Calibri"/>
                <w:sz w:val="22"/>
                <w:szCs w:val="22"/>
              </w:rPr>
            </w:pPr>
            <w:r w:rsidRPr="585CE774">
              <w:rPr>
                <w:rFonts w:eastAsia="Calibri"/>
                <w:sz w:val="22"/>
                <w:szCs w:val="22"/>
              </w:rPr>
              <w:t>U3</w:t>
            </w:r>
          </w:p>
        </w:tc>
        <w:tc>
          <w:tcPr>
            <w:tcW w:w="3111" w:type="dxa"/>
          </w:tcPr>
          <w:p w14:paraId="799E529F" w14:textId="021712B6" w:rsidR="00482892" w:rsidRPr="004330CB" w:rsidRDefault="386125FF" w:rsidP="5BD2FCF6">
            <w:pPr>
              <w:rPr>
                <w:rFonts w:eastAsia="Calibri"/>
                <w:sz w:val="22"/>
                <w:szCs w:val="22"/>
              </w:rPr>
            </w:pPr>
            <w:r w:rsidRPr="5BD2FCF6">
              <w:rPr>
                <w:rFonts w:eastAsia="Calibri"/>
                <w:sz w:val="22"/>
                <w:szCs w:val="22"/>
              </w:rPr>
              <w:t>£</w:t>
            </w:r>
            <w:r w:rsidR="0E1F2099" w:rsidRPr="5BD2FCF6">
              <w:rPr>
                <w:rFonts w:eastAsia="Calibri"/>
                <w:sz w:val="22"/>
                <w:szCs w:val="22"/>
              </w:rPr>
              <w:t>51,048</w:t>
            </w:r>
          </w:p>
        </w:tc>
      </w:tr>
    </w:tbl>
    <w:p w14:paraId="3C9CD9FB" w14:textId="2F0C6A77" w:rsidR="00487F8B" w:rsidRPr="009D0D69" w:rsidRDefault="00487F8B" w:rsidP="585CE774">
      <w:pPr>
        <w:rPr>
          <w:sz w:val="22"/>
          <w:szCs w:val="22"/>
        </w:rPr>
      </w:pPr>
    </w:p>
    <w:p w14:paraId="218B090C" w14:textId="77777777" w:rsidR="00DB56B3" w:rsidRPr="009D0D69" w:rsidRDefault="00DB56B3" w:rsidP="585CE774">
      <w:pPr>
        <w:rPr>
          <w:sz w:val="22"/>
          <w:szCs w:val="22"/>
        </w:rPr>
      </w:pPr>
    </w:p>
    <w:p w14:paraId="2E926E86" w14:textId="596CE40A" w:rsidR="00DB56B3" w:rsidRPr="009D0D69" w:rsidRDefault="00321545" w:rsidP="585CE774">
      <w:pPr>
        <w:ind w:left="720"/>
        <w:rPr>
          <w:b/>
          <w:bCs/>
          <w:sz w:val="22"/>
          <w:szCs w:val="22"/>
        </w:rPr>
      </w:pPr>
      <w:bookmarkStart w:id="51" w:name="LPPR"/>
      <w:r w:rsidRPr="585CE774">
        <w:rPr>
          <w:b/>
          <w:bCs/>
          <w:sz w:val="22"/>
          <w:szCs w:val="22"/>
        </w:rPr>
        <w:t>Leading Practitioner Pay Range</w:t>
      </w:r>
    </w:p>
    <w:bookmarkEnd w:id="51"/>
    <w:p w14:paraId="13B9EEFF" w14:textId="77777777" w:rsidR="00DB56B3" w:rsidRPr="009D0D69" w:rsidRDefault="00DB56B3" w:rsidP="585CE774">
      <w:pPr>
        <w:ind w:left="720"/>
        <w:rPr>
          <w:sz w:val="22"/>
          <w:szCs w:val="22"/>
        </w:rPr>
      </w:pPr>
    </w:p>
    <w:p w14:paraId="231FDBCA" w14:textId="42A6CAAC" w:rsidR="00DB56B3" w:rsidRPr="009D0D69" w:rsidRDefault="00DB56B3" w:rsidP="585CE774">
      <w:pPr>
        <w:ind w:left="720"/>
        <w:rPr>
          <w:sz w:val="22"/>
          <w:szCs w:val="22"/>
        </w:rPr>
      </w:pPr>
      <w:r w:rsidRPr="585CE774">
        <w:rPr>
          <w:sz w:val="22"/>
          <w:szCs w:val="22"/>
        </w:rPr>
        <w:t>The Leading Practitioner pay scale is:</w:t>
      </w:r>
    </w:p>
    <w:p w14:paraId="183F9A98" w14:textId="77777777" w:rsidR="00DB56B3" w:rsidRPr="009D0D69" w:rsidRDefault="00DB56B3" w:rsidP="585CE774">
      <w:pPr>
        <w:ind w:left="720"/>
        <w:rPr>
          <w:sz w:val="22"/>
          <w:szCs w:val="22"/>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275"/>
        <w:gridCol w:w="3828"/>
      </w:tblGrid>
      <w:tr w:rsidR="00DC1CCE" w:rsidRPr="009D0D69" w14:paraId="5F57A25C" w14:textId="77777777" w:rsidTr="5BD2FCF6">
        <w:tc>
          <w:tcPr>
            <w:tcW w:w="1985" w:type="dxa"/>
            <w:tcBorders>
              <w:right w:val="nil"/>
            </w:tcBorders>
          </w:tcPr>
          <w:p w14:paraId="5B1A7443" w14:textId="77777777" w:rsidR="00DB56B3" w:rsidRPr="009D0D69" w:rsidRDefault="00DB56B3" w:rsidP="585CE774">
            <w:pPr>
              <w:jc w:val="center"/>
              <w:rPr>
                <w:rFonts w:eastAsia="Calibri"/>
                <w:b/>
                <w:bCs/>
                <w:sz w:val="22"/>
                <w:szCs w:val="22"/>
              </w:rPr>
            </w:pPr>
            <w:r w:rsidRPr="585CE774">
              <w:rPr>
                <w:rFonts w:eastAsia="Calibri"/>
                <w:b/>
                <w:bCs/>
                <w:sz w:val="22"/>
                <w:szCs w:val="22"/>
              </w:rPr>
              <w:t>Point</w:t>
            </w:r>
          </w:p>
        </w:tc>
        <w:tc>
          <w:tcPr>
            <w:tcW w:w="1275" w:type="dxa"/>
            <w:tcBorders>
              <w:left w:val="nil"/>
            </w:tcBorders>
          </w:tcPr>
          <w:p w14:paraId="20EB0D47" w14:textId="77777777" w:rsidR="00DB56B3" w:rsidRPr="009D0D69" w:rsidRDefault="00DB56B3" w:rsidP="585CE774">
            <w:pPr>
              <w:rPr>
                <w:rFonts w:eastAsia="Calibri"/>
                <w:sz w:val="22"/>
                <w:szCs w:val="22"/>
              </w:rPr>
            </w:pPr>
          </w:p>
        </w:tc>
        <w:tc>
          <w:tcPr>
            <w:tcW w:w="3828" w:type="dxa"/>
          </w:tcPr>
          <w:p w14:paraId="74691596" w14:textId="77777777" w:rsidR="00DB56B3" w:rsidRPr="009D0D69" w:rsidRDefault="00DB56B3" w:rsidP="585CE774">
            <w:pPr>
              <w:jc w:val="center"/>
              <w:rPr>
                <w:rFonts w:eastAsia="Calibri"/>
                <w:b/>
                <w:bCs/>
                <w:sz w:val="22"/>
                <w:szCs w:val="22"/>
              </w:rPr>
            </w:pPr>
            <w:r w:rsidRPr="585CE774">
              <w:rPr>
                <w:rFonts w:eastAsia="Calibri"/>
                <w:b/>
                <w:bCs/>
                <w:sz w:val="22"/>
                <w:szCs w:val="22"/>
              </w:rPr>
              <w:t>Salary</w:t>
            </w:r>
          </w:p>
          <w:p w14:paraId="7E6E0F8D" w14:textId="77777777" w:rsidR="00DB56B3" w:rsidRPr="009D0D69" w:rsidRDefault="00DB56B3" w:rsidP="585CE774">
            <w:pPr>
              <w:jc w:val="center"/>
              <w:rPr>
                <w:rFonts w:eastAsia="Calibri"/>
                <w:sz w:val="22"/>
                <w:szCs w:val="22"/>
              </w:rPr>
            </w:pPr>
          </w:p>
        </w:tc>
      </w:tr>
      <w:tr w:rsidR="00DC1CCE" w:rsidRPr="009D0D69" w14:paraId="03D52187" w14:textId="77777777" w:rsidTr="5BD2FCF6">
        <w:tc>
          <w:tcPr>
            <w:tcW w:w="1985" w:type="dxa"/>
          </w:tcPr>
          <w:p w14:paraId="3FFC934A" w14:textId="77777777" w:rsidR="00DB56B3" w:rsidRPr="009D0D69" w:rsidRDefault="00DB56B3" w:rsidP="585CE774">
            <w:pPr>
              <w:rPr>
                <w:rFonts w:eastAsia="Calibri"/>
                <w:b/>
                <w:bCs/>
                <w:sz w:val="22"/>
                <w:szCs w:val="22"/>
              </w:rPr>
            </w:pPr>
            <w:r w:rsidRPr="585CE774">
              <w:rPr>
                <w:rFonts w:eastAsia="Calibri"/>
                <w:b/>
                <w:bCs/>
                <w:sz w:val="22"/>
                <w:szCs w:val="22"/>
              </w:rPr>
              <w:t>Minimum</w:t>
            </w:r>
            <w:r>
              <w:tab/>
            </w:r>
          </w:p>
        </w:tc>
        <w:tc>
          <w:tcPr>
            <w:tcW w:w="1275" w:type="dxa"/>
          </w:tcPr>
          <w:p w14:paraId="57AB5EFD" w14:textId="77777777" w:rsidR="00DB56B3" w:rsidRPr="003D2F98" w:rsidRDefault="00DB56B3" w:rsidP="585CE774">
            <w:pPr>
              <w:rPr>
                <w:rFonts w:eastAsia="Calibri"/>
                <w:sz w:val="22"/>
                <w:szCs w:val="22"/>
              </w:rPr>
            </w:pPr>
            <w:r w:rsidRPr="003D2F98">
              <w:rPr>
                <w:rFonts w:eastAsia="Calibri"/>
                <w:sz w:val="22"/>
                <w:szCs w:val="22"/>
              </w:rPr>
              <w:t>1</w:t>
            </w:r>
          </w:p>
        </w:tc>
        <w:tc>
          <w:tcPr>
            <w:tcW w:w="3828" w:type="dxa"/>
          </w:tcPr>
          <w:p w14:paraId="6467F955" w14:textId="1F50E2B9" w:rsidR="00DB56B3" w:rsidRPr="003D2F98" w:rsidRDefault="28AE42AB" w:rsidP="5BD2FCF6">
            <w:pPr>
              <w:rPr>
                <w:rFonts w:eastAsia="Calibri"/>
                <w:sz w:val="22"/>
                <w:szCs w:val="22"/>
              </w:rPr>
            </w:pPr>
            <w:r w:rsidRPr="5BD2FCF6">
              <w:rPr>
                <w:rFonts w:eastAsia="Calibri"/>
                <w:sz w:val="22"/>
                <w:szCs w:val="22"/>
              </w:rPr>
              <w:t>£</w:t>
            </w:r>
            <w:r w:rsidR="28689678" w:rsidRPr="5BD2FCF6">
              <w:rPr>
                <w:rFonts w:eastAsia="Calibri"/>
                <w:sz w:val="22"/>
                <w:szCs w:val="22"/>
              </w:rPr>
              <w:t>52,026</w:t>
            </w:r>
          </w:p>
        </w:tc>
      </w:tr>
      <w:tr w:rsidR="00DC1CCE" w:rsidRPr="009D0D69" w14:paraId="14CEB84C" w14:textId="77777777" w:rsidTr="5BD2FCF6">
        <w:tc>
          <w:tcPr>
            <w:tcW w:w="1985" w:type="dxa"/>
          </w:tcPr>
          <w:p w14:paraId="2273DDE2" w14:textId="14B4B33A" w:rsidR="00DB56B3" w:rsidRPr="009D0D69" w:rsidRDefault="00DB56B3" w:rsidP="585CE774">
            <w:pPr>
              <w:rPr>
                <w:rFonts w:eastAsia="Calibri"/>
                <w:sz w:val="22"/>
                <w:szCs w:val="22"/>
              </w:rPr>
            </w:pPr>
          </w:p>
        </w:tc>
        <w:tc>
          <w:tcPr>
            <w:tcW w:w="1275" w:type="dxa"/>
          </w:tcPr>
          <w:p w14:paraId="5213F686" w14:textId="77777777" w:rsidR="00DB56B3" w:rsidRPr="003D2F98" w:rsidRDefault="00DB56B3" w:rsidP="585CE774">
            <w:pPr>
              <w:rPr>
                <w:rFonts w:eastAsia="Calibri"/>
                <w:sz w:val="22"/>
                <w:szCs w:val="22"/>
              </w:rPr>
            </w:pPr>
            <w:r w:rsidRPr="003D2F98">
              <w:rPr>
                <w:rFonts w:eastAsia="Calibri"/>
                <w:sz w:val="22"/>
                <w:szCs w:val="22"/>
              </w:rPr>
              <w:t>2</w:t>
            </w:r>
          </w:p>
        </w:tc>
        <w:tc>
          <w:tcPr>
            <w:tcW w:w="3828" w:type="dxa"/>
          </w:tcPr>
          <w:p w14:paraId="62E56132" w14:textId="08CE8382" w:rsidR="00DB56B3" w:rsidRPr="003D2F98" w:rsidRDefault="01DF1A50" w:rsidP="5BD2FCF6">
            <w:pPr>
              <w:rPr>
                <w:rFonts w:eastAsia="Calibri"/>
                <w:sz w:val="22"/>
                <w:szCs w:val="22"/>
              </w:rPr>
            </w:pPr>
            <w:r w:rsidRPr="5BD2FCF6">
              <w:rPr>
                <w:rFonts w:eastAsia="Calibri"/>
                <w:sz w:val="22"/>
                <w:szCs w:val="22"/>
              </w:rPr>
              <w:t>£</w:t>
            </w:r>
            <w:r w:rsidR="281CC313" w:rsidRPr="5BD2FCF6">
              <w:rPr>
                <w:rFonts w:eastAsia="Calibri"/>
                <w:sz w:val="22"/>
                <w:szCs w:val="22"/>
              </w:rPr>
              <w:t>53,332</w:t>
            </w:r>
          </w:p>
        </w:tc>
      </w:tr>
      <w:tr w:rsidR="00DC1CCE" w:rsidRPr="009D0D69" w14:paraId="257B9A50" w14:textId="77777777" w:rsidTr="5BD2FCF6">
        <w:tc>
          <w:tcPr>
            <w:tcW w:w="1985" w:type="dxa"/>
          </w:tcPr>
          <w:p w14:paraId="5980FC1F" w14:textId="77777777" w:rsidR="00DB56B3" w:rsidRPr="009D0D69" w:rsidRDefault="00DB56B3" w:rsidP="585CE774">
            <w:pPr>
              <w:rPr>
                <w:rFonts w:eastAsia="Calibri"/>
                <w:sz w:val="22"/>
                <w:szCs w:val="22"/>
              </w:rPr>
            </w:pPr>
          </w:p>
        </w:tc>
        <w:tc>
          <w:tcPr>
            <w:tcW w:w="1275" w:type="dxa"/>
          </w:tcPr>
          <w:p w14:paraId="44551A29" w14:textId="77777777" w:rsidR="00DB56B3" w:rsidRPr="003D2F98" w:rsidRDefault="00DB56B3" w:rsidP="585CE774">
            <w:pPr>
              <w:rPr>
                <w:rFonts w:eastAsia="Calibri"/>
                <w:sz w:val="22"/>
                <w:szCs w:val="22"/>
              </w:rPr>
            </w:pPr>
            <w:r w:rsidRPr="003D2F98">
              <w:rPr>
                <w:rFonts w:eastAsia="Calibri"/>
                <w:sz w:val="22"/>
                <w:szCs w:val="22"/>
              </w:rPr>
              <w:t>3</w:t>
            </w:r>
          </w:p>
        </w:tc>
        <w:tc>
          <w:tcPr>
            <w:tcW w:w="3828" w:type="dxa"/>
          </w:tcPr>
          <w:p w14:paraId="0FD97C20" w14:textId="58001255" w:rsidR="00DB56B3" w:rsidRPr="003D2F98" w:rsidRDefault="639571F2" w:rsidP="5BD2FCF6">
            <w:pPr>
              <w:rPr>
                <w:rFonts w:eastAsia="Calibri"/>
                <w:sz w:val="22"/>
                <w:szCs w:val="22"/>
              </w:rPr>
            </w:pPr>
            <w:r w:rsidRPr="5BD2FCF6">
              <w:rPr>
                <w:rFonts w:eastAsia="Calibri"/>
                <w:sz w:val="22"/>
                <w:szCs w:val="22"/>
              </w:rPr>
              <w:t>£</w:t>
            </w:r>
            <w:r w:rsidR="6F7169BD" w:rsidRPr="5BD2FCF6">
              <w:rPr>
                <w:rFonts w:eastAsia="Calibri"/>
                <w:sz w:val="22"/>
                <w:szCs w:val="22"/>
              </w:rPr>
              <w:t>54,663</w:t>
            </w:r>
          </w:p>
        </w:tc>
      </w:tr>
      <w:tr w:rsidR="00DC1CCE" w:rsidRPr="009D0D69" w14:paraId="10F31CD5" w14:textId="77777777" w:rsidTr="5BD2FCF6">
        <w:tc>
          <w:tcPr>
            <w:tcW w:w="1985" w:type="dxa"/>
          </w:tcPr>
          <w:p w14:paraId="11DBBBDE" w14:textId="77777777" w:rsidR="00DB56B3" w:rsidRPr="009D0D69" w:rsidRDefault="00DB56B3" w:rsidP="585CE774">
            <w:pPr>
              <w:rPr>
                <w:rFonts w:eastAsia="Calibri"/>
                <w:sz w:val="22"/>
                <w:szCs w:val="22"/>
              </w:rPr>
            </w:pPr>
          </w:p>
        </w:tc>
        <w:tc>
          <w:tcPr>
            <w:tcW w:w="1275" w:type="dxa"/>
          </w:tcPr>
          <w:p w14:paraId="35C2EE18" w14:textId="77777777" w:rsidR="00DB56B3" w:rsidRPr="003D2F98" w:rsidRDefault="00DB56B3" w:rsidP="585CE774">
            <w:pPr>
              <w:rPr>
                <w:rFonts w:eastAsia="Calibri"/>
                <w:sz w:val="22"/>
                <w:szCs w:val="22"/>
              </w:rPr>
            </w:pPr>
            <w:r w:rsidRPr="003D2F98">
              <w:rPr>
                <w:rFonts w:eastAsia="Calibri"/>
                <w:sz w:val="22"/>
                <w:szCs w:val="22"/>
              </w:rPr>
              <w:t>4</w:t>
            </w:r>
          </w:p>
        </w:tc>
        <w:tc>
          <w:tcPr>
            <w:tcW w:w="3828" w:type="dxa"/>
          </w:tcPr>
          <w:p w14:paraId="1234DC46" w14:textId="42F1868D" w:rsidR="00DB56B3" w:rsidRPr="003D2F98" w:rsidRDefault="517D6514" w:rsidP="5BD2FCF6">
            <w:pPr>
              <w:rPr>
                <w:rFonts w:eastAsia="Calibri"/>
                <w:sz w:val="22"/>
                <w:szCs w:val="22"/>
              </w:rPr>
            </w:pPr>
            <w:r w:rsidRPr="5BD2FCF6">
              <w:rPr>
                <w:rFonts w:eastAsia="Calibri"/>
                <w:sz w:val="22"/>
                <w:szCs w:val="22"/>
              </w:rPr>
              <w:t>£</w:t>
            </w:r>
            <w:r w:rsidR="4FC5F62C" w:rsidRPr="5BD2FCF6">
              <w:rPr>
                <w:rFonts w:eastAsia="Calibri"/>
                <w:sz w:val="22"/>
                <w:szCs w:val="22"/>
              </w:rPr>
              <w:t>56,022</w:t>
            </w:r>
          </w:p>
        </w:tc>
      </w:tr>
      <w:tr w:rsidR="00DC1CCE" w:rsidRPr="009D0D69" w14:paraId="11CF68BD" w14:textId="77777777" w:rsidTr="5BD2FCF6">
        <w:tc>
          <w:tcPr>
            <w:tcW w:w="1985" w:type="dxa"/>
          </w:tcPr>
          <w:p w14:paraId="59A5E215" w14:textId="77777777" w:rsidR="00DB56B3" w:rsidRPr="009D0D69" w:rsidRDefault="00DB56B3" w:rsidP="585CE774">
            <w:pPr>
              <w:rPr>
                <w:rFonts w:eastAsia="Calibri"/>
                <w:sz w:val="22"/>
                <w:szCs w:val="22"/>
              </w:rPr>
            </w:pPr>
          </w:p>
        </w:tc>
        <w:tc>
          <w:tcPr>
            <w:tcW w:w="1275" w:type="dxa"/>
          </w:tcPr>
          <w:p w14:paraId="4BDF1D24" w14:textId="77777777" w:rsidR="00DB56B3" w:rsidRPr="003D2F98" w:rsidRDefault="00DB56B3" w:rsidP="585CE774">
            <w:pPr>
              <w:rPr>
                <w:rFonts w:eastAsia="Calibri"/>
                <w:sz w:val="22"/>
                <w:szCs w:val="22"/>
              </w:rPr>
            </w:pPr>
            <w:r w:rsidRPr="003D2F98">
              <w:rPr>
                <w:rFonts w:eastAsia="Calibri"/>
                <w:sz w:val="22"/>
                <w:szCs w:val="22"/>
              </w:rPr>
              <w:t>5</w:t>
            </w:r>
          </w:p>
        </w:tc>
        <w:tc>
          <w:tcPr>
            <w:tcW w:w="3828" w:type="dxa"/>
          </w:tcPr>
          <w:p w14:paraId="496DBBEE" w14:textId="214A3BD3" w:rsidR="00DB56B3" w:rsidRPr="003D2F98" w:rsidRDefault="517D6514" w:rsidP="5BD2FCF6">
            <w:pPr>
              <w:rPr>
                <w:rFonts w:eastAsia="Calibri"/>
                <w:sz w:val="22"/>
                <w:szCs w:val="22"/>
              </w:rPr>
            </w:pPr>
            <w:r w:rsidRPr="5BD2FCF6">
              <w:rPr>
                <w:rFonts w:eastAsia="Calibri"/>
                <w:sz w:val="22"/>
                <w:szCs w:val="22"/>
              </w:rPr>
              <w:t>£5</w:t>
            </w:r>
            <w:r w:rsidR="6549B399" w:rsidRPr="5BD2FCF6">
              <w:rPr>
                <w:rFonts w:eastAsia="Calibri"/>
                <w:sz w:val="22"/>
                <w:szCs w:val="22"/>
              </w:rPr>
              <w:t>7,418</w:t>
            </w:r>
          </w:p>
        </w:tc>
      </w:tr>
      <w:tr w:rsidR="00DC1CCE" w:rsidRPr="009D0D69" w14:paraId="439ECC88" w14:textId="77777777" w:rsidTr="5BD2FCF6">
        <w:tc>
          <w:tcPr>
            <w:tcW w:w="1985" w:type="dxa"/>
          </w:tcPr>
          <w:p w14:paraId="5CF1D4E1" w14:textId="77777777" w:rsidR="00DB56B3" w:rsidRPr="009D0D69" w:rsidRDefault="00DB56B3" w:rsidP="585CE774">
            <w:pPr>
              <w:rPr>
                <w:rFonts w:eastAsia="Calibri"/>
                <w:sz w:val="22"/>
                <w:szCs w:val="22"/>
              </w:rPr>
            </w:pPr>
          </w:p>
        </w:tc>
        <w:tc>
          <w:tcPr>
            <w:tcW w:w="1275" w:type="dxa"/>
          </w:tcPr>
          <w:p w14:paraId="44809ABF" w14:textId="77777777" w:rsidR="00DB56B3" w:rsidRPr="003D2F98" w:rsidRDefault="00DB56B3" w:rsidP="585CE774">
            <w:pPr>
              <w:rPr>
                <w:rFonts w:eastAsia="Calibri"/>
                <w:sz w:val="22"/>
                <w:szCs w:val="22"/>
              </w:rPr>
            </w:pPr>
            <w:r w:rsidRPr="003D2F98">
              <w:rPr>
                <w:rFonts w:eastAsia="Calibri"/>
                <w:sz w:val="22"/>
                <w:szCs w:val="22"/>
              </w:rPr>
              <w:t>6</w:t>
            </w:r>
          </w:p>
        </w:tc>
        <w:tc>
          <w:tcPr>
            <w:tcW w:w="3828" w:type="dxa"/>
          </w:tcPr>
          <w:p w14:paraId="14BD7784" w14:textId="61EBB6F8" w:rsidR="00DB56B3" w:rsidRPr="003D2F98" w:rsidRDefault="517D6514" w:rsidP="5BD2FCF6">
            <w:pPr>
              <w:rPr>
                <w:rFonts w:eastAsia="Calibri"/>
                <w:sz w:val="22"/>
                <w:szCs w:val="22"/>
              </w:rPr>
            </w:pPr>
            <w:r w:rsidRPr="5BD2FCF6">
              <w:rPr>
                <w:rFonts w:eastAsia="Calibri"/>
                <w:sz w:val="22"/>
                <w:szCs w:val="22"/>
              </w:rPr>
              <w:t>£5</w:t>
            </w:r>
            <w:r w:rsidR="707578A7" w:rsidRPr="5BD2FCF6">
              <w:rPr>
                <w:rFonts w:eastAsia="Calibri"/>
                <w:sz w:val="22"/>
                <w:szCs w:val="22"/>
              </w:rPr>
              <w:t>8,858</w:t>
            </w:r>
          </w:p>
        </w:tc>
      </w:tr>
      <w:tr w:rsidR="00DC1CCE" w:rsidRPr="009D0D69" w14:paraId="2865AE6F" w14:textId="77777777" w:rsidTr="5BD2FCF6">
        <w:tc>
          <w:tcPr>
            <w:tcW w:w="1985" w:type="dxa"/>
          </w:tcPr>
          <w:p w14:paraId="3E19657B" w14:textId="77777777" w:rsidR="00DB56B3" w:rsidRPr="009D0D69" w:rsidRDefault="00DB56B3" w:rsidP="585CE774">
            <w:pPr>
              <w:rPr>
                <w:rFonts w:eastAsia="Calibri"/>
                <w:sz w:val="22"/>
                <w:szCs w:val="22"/>
              </w:rPr>
            </w:pPr>
          </w:p>
        </w:tc>
        <w:tc>
          <w:tcPr>
            <w:tcW w:w="1275" w:type="dxa"/>
          </w:tcPr>
          <w:p w14:paraId="6F5704FC" w14:textId="77777777" w:rsidR="00DB56B3" w:rsidRPr="003D2F98" w:rsidRDefault="00DB56B3" w:rsidP="585CE774">
            <w:pPr>
              <w:rPr>
                <w:rFonts w:eastAsia="Calibri"/>
                <w:sz w:val="22"/>
                <w:szCs w:val="22"/>
              </w:rPr>
            </w:pPr>
            <w:r w:rsidRPr="003D2F98">
              <w:rPr>
                <w:rFonts w:eastAsia="Calibri"/>
                <w:sz w:val="22"/>
                <w:szCs w:val="22"/>
              </w:rPr>
              <w:t>7</w:t>
            </w:r>
          </w:p>
        </w:tc>
        <w:tc>
          <w:tcPr>
            <w:tcW w:w="3828" w:type="dxa"/>
          </w:tcPr>
          <w:p w14:paraId="78672790" w14:textId="35B3730D" w:rsidR="00DB56B3" w:rsidRPr="003D2F98" w:rsidRDefault="2688CF7E" w:rsidP="5BD2FCF6">
            <w:pPr>
              <w:rPr>
                <w:rFonts w:eastAsia="Calibri"/>
                <w:sz w:val="22"/>
                <w:szCs w:val="22"/>
              </w:rPr>
            </w:pPr>
            <w:r w:rsidRPr="5BD2FCF6">
              <w:rPr>
                <w:rFonts w:eastAsia="Calibri"/>
                <w:sz w:val="22"/>
                <w:szCs w:val="22"/>
              </w:rPr>
              <w:t>£60,443</w:t>
            </w:r>
          </w:p>
        </w:tc>
      </w:tr>
      <w:tr w:rsidR="00DC1CCE" w:rsidRPr="009D0D69" w14:paraId="3A00459C" w14:textId="77777777" w:rsidTr="5BD2FCF6">
        <w:tc>
          <w:tcPr>
            <w:tcW w:w="1985" w:type="dxa"/>
          </w:tcPr>
          <w:p w14:paraId="5FE19A2F" w14:textId="77777777" w:rsidR="00DB56B3" w:rsidRPr="009D0D69" w:rsidRDefault="00DB56B3" w:rsidP="585CE774">
            <w:pPr>
              <w:rPr>
                <w:rFonts w:eastAsia="Calibri"/>
                <w:sz w:val="22"/>
                <w:szCs w:val="22"/>
              </w:rPr>
            </w:pPr>
          </w:p>
        </w:tc>
        <w:tc>
          <w:tcPr>
            <w:tcW w:w="1275" w:type="dxa"/>
          </w:tcPr>
          <w:p w14:paraId="6CE4F050" w14:textId="77777777" w:rsidR="00DB56B3" w:rsidRPr="003D2F98" w:rsidRDefault="00DB56B3" w:rsidP="585CE774">
            <w:pPr>
              <w:rPr>
                <w:rFonts w:eastAsia="Calibri"/>
                <w:sz w:val="22"/>
                <w:szCs w:val="22"/>
              </w:rPr>
            </w:pPr>
            <w:r w:rsidRPr="003D2F98">
              <w:rPr>
                <w:rFonts w:eastAsia="Calibri"/>
                <w:sz w:val="22"/>
                <w:szCs w:val="22"/>
              </w:rPr>
              <w:t>8</w:t>
            </w:r>
          </w:p>
        </w:tc>
        <w:tc>
          <w:tcPr>
            <w:tcW w:w="3828" w:type="dxa"/>
          </w:tcPr>
          <w:p w14:paraId="25E414D7" w14:textId="779ED9BA" w:rsidR="00DB56B3" w:rsidRPr="003D2F98" w:rsidRDefault="010A8180" w:rsidP="5BD2FCF6">
            <w:pPr>
              <w:rPr>
                <w:rFonts w:eastAsia="Calibri"/>
                <w:sz w:val="22"/>
                <w:szCs w:val="22"/>
              </w:rPr>
            </w:pPr>
            <w:r w:rsidRPr="5BD2FCF6">
              <w:rPr>
                <w:rFonts w:eastAsia="Calibri"/>
                <w:sz w:val="22"/>
                <w:szCs w:val="22"/>
              </w:rPr>
              <w:t>£</w:t>
            </w:r>
            <w:r w:rsidR="5E0C753B" w:rsidRPr="5BD2FCF6">
              <w:rPr>
                <w:rFonts w:eastAsia="Calibri"/>
                <w:sz w:val="22"/>
                <w:szCs w:val="22"/>
              </w:rPr>
              <w:t>61,836</w:t>
            </w:r>
          </w:p>
        </w:tc>
      </w:tr>
      <w:tr w:rsidR="00DC1CCE" w:rsidRPr="009D0D69" w14:paraId="5F7770D3" w14:textId="77777777" w:rsidTr="5BD2FCF6">
        <w:tc>
          <w:tcPr>
            <w:tcW w:w="1985" w:type="dxa"/>
          </w:tcPr>
          <w:p w14:paraId="377B52C8" w14:textId="77777777" w:rsidR="00DB56B3" w:rsidRPr="009D0D69" w:rsidRDefault="00DB56B3" w:rsidP="585CE774">
            <w:pPr>
              <w:rPr>
                <w:rFonts w:eastAsia="Calibri"/>
                <w:sz w:val="22"/>
                <w:szCs w:val="22"/>
              </w:rPr>
            </w:pPr>
          </w:p>
        </w:tc>
        <w:tc>
          <w:tcPr>
            <w:tcW w:w="1275" w:type="dxa"/>
          </w:tcPr>
          <w:p w14:paraId="112385B8" w14:textId="77777777" w:rsidR="00DB56B3" w:rsidRPr="003D2F98" w:rsidRDefault="00DB56B3" w:rsidP="585CE774">
            <w:pPr>
              <w:rPr>
                <w:rFonts w:eastAsia="Calibri"/>
                <w:sz w:val="22"/>
                <w:szCs w:val="22"/>
              </w:rPr>
            </w:pPr>
            <w:r w:rsidRPr="003D2F98">
              <w:rPr>
                <w:rFonts w:eastAsia="Calibri"/>
                <w:sz w:val="22"/>
                <w:szCs w:val="22"/>
              </w:rPr>
              <w:t>9</w:t>
            </w:r>
          </w:p>
        </w:tc>
        <w:tc>
          <w:tcPr>
            <w:tcW w:w="3828" w:type="dxa"/>
          </w:tcPr>
          <w:p w14:paraId="1ACDAD20" w14:textId="5C37035F" w:rsidR="00DB56B3" w:rsidRPr="003D2F98" w:rsidRDefault="010A8180" w:rsidP="5BD2FCF6">
            <w:pPr>
              <w:rPr>
                <w:rFonts w:eastAsia="Calibri"/>
                <w:sz w:val="22"/>
                <w:szCs w:val="22"/>
              </w:rPr>
            </w:pPr>
            <w:r w:rsidRPr="5BD2FCF6">
              <w:rPr>
                <w:rFonts w:eastAsia="Calibri"/>
                <w:sz w:val="22"/>
                <w:szCs w:val="22"/>
              </w:rPr>
              <w:t>£</w:t>
            </w:r>
            <w:r w:rsidR="78B78E25" w:rsidRPr="5BD2FCF6">
              <w:rPr>
                <w:rFonts w:eastAsia="Calibri"/>
                <w:sz w:val="22"/>
                <w:szCs w:val="22"/>
              </w:rPr>
              <w:t>63,381</w:t>
            </w:r>
          </w:p>
        </w:tc>
      </w:tr>
      <w:tr w:rsidR="00DC1CCE" w:rsidRPr="009D0D69" w14:paraId="20CB51B2" w14:textId="77777777" w:rsidTr="5BD2FCF6">
        <w:tc>
          <w:tcPr>
            <w:tcW w:w="1985" w:type="dxa"/>
          </w:tcPr>
          <w:p w14:paraId="04304472" w14:textId="77777777" w:rsidR="00DB56B3" w:rsidRPr="009D0D69" w:rsidRDefault="00DB56B3" w:rsidP="585CE774">
            <w:pPr>
              <w:rPr>
                <w:rFonts w:eastAsia="Calibri"/>
                <w:sz w:val="22"/>
                <w:szCs w:val="22"/>
              </w:rPr>
            </w:pPr>
          </w:p>
        </w:tc>
        <w:tc>
          <w:tcPr>
            <w:tcW w:w="1275" w:type="dxa"/>
          </w:tcPr>
          <w:p w14:paraId="4ABE6B35" w14:textId="77777777" w:rsidR="00DB56B3" w:rsidRPr="003D2F98" w:rsidRDefault="00DB56B3" w:rsidP="585CE774">
            <w:pPr>
              <w:rPr>
                <w:rFonts w:eastAsia="Calibri"/>
                <w:sz w:val="22"/>
                <w:szCs w:val="22"/>
              </w:rPr>
            </w:pPr>
            <w:r w:rsidRPr="003D2F98">
              <w:rPr>
                <w:rFonts w:eastAsia="Calibri"/>
                <w:sz w:val="22"/>
                <w:szCs w:val="22"/>
              </w:rPr>
              <w:t>10</w:t>
            </w:r>
          </w:p>
        </w:tc>
        <w:tc>
          <w:tcPr>
            <w:tcW w:w="3828" w:type="dxa"/>
          </w:tcPr>
          <w:p w14:paraId="0623A706" w14:textId="056EEEFE" w:rsidR="00DB56B3" w:rsidRPr="003D2F98" w:rsidRDefault="010A8180" w:rsidP="5BD2FCF6">
            <w:pPr>
              <w:rPr>
                <w:rFonts w:eastAsia="Calibri"/>
                <w:sz w:val="22"/>
                <w:szCs w:val="22"/>
              </w:rPr>
            </w:pPr>
            <w:r w:rsidRPr="5BD2FCF6">
              <w:rPr>
                <w:rFonts w:eastAsia="Calibri"/>
                <w:sz w:val="22"/>
                <w:szCs w:val="22"/>
              </w:rPr>
              <w:t>£</w:t>
            </w:r>
            <w:r w:rsidR="49DE389A" w:rsidRPr="5BD2FCF6">
              <w:rPr>
                <w:rFonts w:eastAsia="Calibri"/>
                <w:sz w:val="22"/>
                <w:szCs w:val="22"/>
              </w:rPr>
              <w:t>65,010</w:t>
            </w:r>
          </w:p>
        </w:tc>
      </w:tr>
      <w:tr w:rsidR="00DC1CCE" w:rsidRPr="009D0D69" w14:paraId="5939560F" w14:textId="77777777" w:rsidTr="5BD2FCF6">
        <w:tc>
          <w:tcPr>
            <w:tcW w:w="1985" w:type="dxa"/>
          </w:tcPr>
          <w:p w14:paraId="3309DC34" w14:textId="77777777" w:rsidR="00DB56B3" w:rsidRPr="009D0D69" w:rsidRDefault="00DB56B3" w:rsidP="585CE774">
            <w:pPr>
              <w:rPr>
                <w:rFonts w:eastAsia="Calibri"/>
                <w:sz w:val="22"/>
                <w:szCs w:val="22"/>
              </w:rPr>
            </w:pPr>
          </w:p>
        </w:tc>
        <w:tc>
          <w:tcPr>
            <w:tcW w:w="1275" w:type="dxa"/>
          </w:tcPr>
          <w:p w14:paraId="1C5175C2" w14:textId="77777777" w:rsidR="00DB56B3" w:rsidRPr="003D2F98" w:rsidRDefault="00DB56B3" w:rsidP="585CE774">
            <w:pPr>
              <w:rPr>
                <w:rFonts w:eastAsia="Calibri"/>
                <w:sz w:val="22"/>
                <w:szCs w:val="22"/>
              </w:rPr>
            </w:pPr>
            <w:r w:rsidRPr="003D2F98">
              <w:rPr>
                <w:rFonts w:eastAsia="Calibri"/>
                <w:sz w:val="22"/>
                <w:szCs w:val="22"/>
              </w:rPr>
              <w:t>11</w:t>
            </w:r>
          </w:p>
        </w:tc>
        <w:tc>
          <w:tcPr>
            <w:tcW w:w="3828" w:type="dxa"/>
          </w:tcPr>
          <w:p w14:paraId="7C1F5629" w14:textId="1C4C41F4" w:rsidR="00DB56B3" w:rsidRPr="003D2F98" w:rsidRDefault="687A3ED1" w:rsidP="5BD2FCF6">
            <w:pPr>
              <w:rPr>
                <w:rFonts w:eastAsia="Calibri"/>
                <w:sz w:val="22"/>
                <w:szCs w:val="22"/>
              </w:rPr>
            </w:pPr>
            <w:r w:rsidRPr="5BD2FCF6">
              <w:rPr>
                <w:rFonts w:eastAsia="Calibri"/>
                <w:sz w:val="22"/>
                <w:szCs w:val="22"/>
              </w:rPr>
              <w:t>£</w:t>
            </w:r>
            <w:r w:rsidR="67535ABF" w:rsidRPr="5BD2FCF6">
              <w:rPr>
                <w:rFonts w:eastAsia="Calibri"/>
                <w:sz w:val="22"/>
                <w:szCs w:val="22"/>
              </w:rPr>
              <w:t>66,695</w:t>
            </w:r>
          </w:p>
        </w:tc>
      </w:tr>
      <w:tr w:rsidR="00DC1CCE" w:rsidRPr="009D0D69" w14:paraId="58A7331B" w14:textId="77777777" w:rsidTr="5BD2FCF6">
        <w:tc>
          <w:tcPr>
            <w:tcW w:w="1985" w:type="dxa"/>
          </w:tcPr>
          <w:p w14:paraId="07A75E56" w14:textId="77777777" w:rsidR="00DB56B3" w:rsidRPr="009D0D69" w:rsidRDefault="00DB56B3" w:rsidP="585CE774">
            <w:pPr>
              <w:rPr>
                <w:rFonts w:eastAsia="Calibri"/>
                <w:sz w:val="22"/>
                <w:szCs w:val="22"/>
              </w:rPr>
            </w:pPr>
          </w:p>
        </w:tc>
        <w:tc>
          <w:tcPr>
            <w:tcW w:w="1275" w:type="dxa"/>
          </w:tcPr>
          <w:p w14:paraId="3ADAB766" w14:textId="77777777" w:rsidR="00DB56B3" w:rsidRPr="003D2F98" w:rsidRDefault="00DB56B3" w:rsidP="585CE774">
            <w:pPr>
              <w:rPr>
                <w:rFonts w:eastAsia="Calibri"/>
                <w:sz w:val="22"/>
                <w:szCs w:val="22"/>
              </w:rPr>
            </w:pPr>
            <w:r w:rsidRPr="003D2F98">
              <w:rPr>
                <w:rFonts w:eastAsia="Calibri"/>
                <w:sz w:val="22"/>
                <w:szCs w:val="22"/>
              </w:rPr>
              <w:t>12</w:t>
            </w:r>
          </w:p>
        </w:tc>
        <w:tc>
          <w:tcPr>
            <w:tcW w:w="3828" w:type="dxa"/>
          </w:tcPr>
          <w:p w14:paraId="73BA99B2" w14:textId="681BF256" w:rsidR="00DB56B3" w:rsidRPr="003D2F98" w:rsidRDefault="687A3ED1" w:rsidP="5BD2FCF6">
            <w:pPr>
              <w:rPr>
                <w:rFonts w:eastAsia="Calibri"/>
                <w:sz w:val="22"/>
                <w:szCs w:val="22"/>
              </w:rPr>
            </w:pPr>
            <w:r w:rsidRPr="5BD2FCF6">
              <w:rPr>
                <w:rFonts w:eastAsia="Calibri"/>
                <w:sz w:val="22"/>
                <w:szCs w:val="22"/>
              </w:rPr>
              <w:t>£</w:t>
            </w:r>
            <w:r w:rsidR="1DE58BAE" w:rsidRPr="5BD2FCF6">
              <w:rPr>
                <w:rFonts w:eastAsia="Calibri"/>
                <w:sz w:val="22"/>
                <w:szCs w:val="22"/>
              </w:rPr>
              <w:t>68,233</w:t>
            </w:r>
          </w:p>
        </w:tc>
      </w:tr>
      <w:tr w:rsidR="00DC1CCE" w:rsidRPr="009D0D69" w14:paraId="33F44BA8" w14:textId="77777777" w:rsidTr="5BD2FCF6">
        <w:tc>
          <w:tcPr>
            <w:tcW w:w="1985" w:type="dxa"/>
          </w:tcPr>
          <w:p w14:paraId="21606CF3" w14:textId="77777777" w:rsidR="00DB56B3" w:rsidRPr="009D0D69" w:rsidRDefault="00DB56B3" w:rsidP="585CE774">
            <w:pPr>
              <w:rPr>
                <w:rFonts w:eastAsia="Calibri"/>
                <w:sz w:val="22"/>
                <w:szCs w:val="22"/>
              </w:rPr>
            </w:pPr>
          </w:p>
        </w:tc>
        <w:tc>
          <w:tcPr>
            <w:tcW w:w="1275" w:type="dxa"/>
          </w:tcPr>
          <w:p w14:paraId="0B406D76" w14:textId="77777777" w:rsidR="00DB56B3" w:rsidRPr="003D2F98" w:rsidRDefault="00DB56B3" w:rsidP="585CE774">
            <w:pPr>
              <w:rPr>
                <w:rFonts w:eastAsia="Calibri"/>
                <w:sz w:val="22"/>
                <w:szCs w:val="22"/>
              </w:rPr>
            </w:pPr>
            <w:r w:rsidRPr="003D2F98">
              <w:rPr>
                <w:rFonts w:eastAsia="Calibri"/>
                <w:sz w:val="22"/>
                <w:szCs w:val="22"/>
              </w:rPr>
              <w:t>13</w:t>
            </w:r>
          </w:p>
        </w:tc>
        <w:tc>
          <w:tcPr>
            <w:tcW w:w="3828" w:type="dxa"/>
          </w:tcPr>
          <w:p w14:paraId="41B410C6" w14:textId="61F0C169" w:rsidR="00DB56B3" w:rsidRPr="003D2F98" w:rsidRDefault="687A3ED1" w:rsidP="5BD2FCF6">
            <w:pPr>
              <w:rPr>
                <w:rFonts w:eastAsia="Calibri"/>
                <w:sz w:val="22"/>
                <w:szCs w:val="22"/>
              </w:rPr>
            </w:pPr>
            <w:r w:rsidRPr="5BD2FCF6">
              <w:rPr>
                <w:rFonts w:eastAsia="Calibri"/>
                <w:sz w:val="22"/>
                <w:szCs w:val="22"/>
              </w:rPr>
              <w:t>£6</w:t>
            </w:r>
            <w:r w:rsidR="51DCBA80" w:rsidRPr="5BD2FCF6">
              <w:rPr>
                <w:rFonts w:eastAsia="Calibri"/>
                <w:sz w:val="22"/>
                <w:szCs w:val="22"/>
              </w:rPr>
              <w:t>9,957</w:t>
            </w:r>
          </w:p>
        </w:tc>
      </w:tr>
      <w:tr w:rsidR="00DC1CCE" w:rsidRPr="009D0D69" w14:paraId="6D9F04B7" w14:textId="77777777" w:rsidTr="5BD2FCF6">
        <w:tc>
          <w:tcPr>
            <w:tcW w:w="1985" w:type="dxa"/>
          </w:tcPr>
          <w:p w14:paraId="3E0729B3" w14:textId="77777777" w:rsidR="00DB56B3" w:rsidRPr="009D0D69" w:rsidRDefault="00DB56B3" w:rsidP="585CE774">
            <w:pPr>
              <w:rPr>
                <w:rFonts w:eastAsia="Calibri"/>
                <w:sz w:val="22"/>
                <w:szCs w:val="22"/>
              </w:rPr>
            </w:pPr>
          </w:p>
        </w:tc>
        <w:tc>
          <w:tcPr>
            <w:tcW w:w="1275" w:type="dxa"/>
          </w:tcPr>
          <w:p w14:paraId="33D77E50" w14:textId="77777777" w:rsidR="00DB56B3" w:rsidRPr="003D2F98" w:rsidRDefault="00DB56B3" w:rsidP="585CE774">
            <w:pPr>
              <w:rPr>
                <w:rFonts w:eastAsia="Calibri"/>
                <w:sz w:val="22"/>
                <w:szCs w:val="22"/>
              </w:rPr>
            </w:pPr>
            <w:r w:rsidRPr="003D2F98">
              <w:rPr>
                <w:rFonts w:eastAsia="Calibri"/>
                <w:sz w:val="22"/>
                <w:szCs w:val="22"/>
              </w:rPr>
              <w:t>14</w:t>
            </w:r>
          </w:p>
        </w:tc>
        <w:tc>
          <w:tcPr>
            <w:tcW w:w="3828" w:type="dxa"/>
          </w:tcPr>
          <w:p w14:paraId="6D158512" w14:textId="6897161C" w:rsidR="00DB56B3" w:rsidRPr="003D2F98" w:rsidRDefault="687A3ED1" w:rsidP="5BD2FCF6">
            <w:pPr>
              <w:rPr>
                <w:rFonts w:eastAsia="Calibri"/>
                <w:sz w:val="22"/>
                <w:szCs w:val="22"/>
              </w:rPr>
            </w:pPr>
            <w:r w:rsidRPr="5BD2FCF6">
              <w:rPr>
                <w:rFonts w:eastAsia="Calibri"/>
                <w:sz w:val="22"/>
                <w:szCs w:val="22"/>
              </w:rPr>
              <w:t>£</w:t>
            </w:r>
            <w:r w:rsidR="57C3398D" w:rsidRPr="5BD2FCF6">
              <w:rPr>
                <w:rFonts w:eastAsia="Calibri"/>
                <w:sz w:val="22"/>
                <w:szCs w:val="22"/>
              </w:rPr>
              <w:t>71,682</w:t>
            </w:r>
          </w:p>
        </w:tc>
      </w:tr>
      <w:tr w:rsidR="00DC1CCE" w:rsidRPr="009D0D69" w14:paraId="04D92882" w14:textId="77777777" w:rsidTr="5BD2FCF6">
        <w:tc>
          <w:tcPr>
            <w:tcW w:w="1985" w:type="dxa"/>
          </w:tcPr>
          <w:p w14:paraId="0884C005" w14:textId="77777777" w:rsidR="00DB56B3" w:rsidRPr="009D0D69" w:rsidRDefault="00DB56B3" w:rsidP="585CE774">
            <w:pPr>
              <w:rPr>
                <w:rFonts w:eastAsia="Calibri"/>
                <w:sz w:val="22"/>
                <w:szCs w:val="22"/>
              </w:rPr>
            </w:pPr>
          </w:p>
        </w:tc>
        <w:tc>
          <w:tcPr>
            <w:tcW w:w="1275" w:type="dxa"/>
          </w:tcPr>
          <w:p w14:paraId="67C723B4" w14:textId="77777777" w:rsidR="00DB56B3" w:rsidRPr="003D2F98" w:rsidRDefault="00DB56B3" w:rsidP="585CE774">
            <w:pPr>
              <w:rPr>
                <w:rFonts w:eastAsia="Calibri"/>
                <w:sz w:val="22"/>
                <w:szCs w:val="22"/>
              </w:rPr>
            </w:pPr>
            <w:r w:rsidRPr="003D2F98">
              <w:rPr>
                <w:rFonts w:eastAsia="Calibri"/>
                <w:sz w:val="22"/>
                <w:szCs w:val="22"/>
              </w:rPr>
              <w:t>15</w:t>
            </w:r>
          </w:p>
        </w:tc>
        <w:tc>
          <w:tcPr>
            <w:tcW w:w="3828" w:type="dxa"/>
          </w:tcPr>
          <w:p w14:paraId="5DB1B0D1" w14:textId="10E0F218" w:rsidR="00DB56B3" w:rsidRPr="003D2F98" w:rsidRDefault="25A8CE01" w:rsidP="5BD2FCF6">
            <w:pPr>
              <w:rPr>
                <w:rFonts w:eastAsia="Calibri"/>
                <w:sz w:val="22"/>
                <w:szCs w:val="22"/>
              </w:rPr>
            </w:pPr>
            <w:r w:rsidRPr="5BD2FCF6">
              <w:rPr>
                <w:rFonts w:eastAsia="Calibri"/>
                <w:sz w:val="22"/>
                <w:szCs w:val="22"/>
              </w:rPr>
              <w:t>£</w:t>
            </w:r>
            <w:r w:rsidR="7FA57C8A" w:rsidRPr="5BD2FCF6">
              <w:rPr>
                <w:rFonts w:eastAsia="Calibri"/>
                <w:sz w:val="22"/>
                <w:szCs w:val="22"/>
              </w:rPr>
              <w:t>73,465</w:t>
            </w:r>
          </w:p>
        </w:tc>
      </w:tr>
      <w:tr w:rsidR="00DC1CCE" w:rsidRPr="009D0D69" w14:paraId="110EDA72" w14:textId="77777777" w:rsidTr="5BD2FCF6">
        <w:tc>
          <w:tcPr>
            <w:tcW w:w="1985" w:type="dxa"/>
          </w:tcPr>
          <w:p w14:paraId="19F3A9E4" w14:textId="77777777" w:rsidR="00DB56B3" w:rsidRPr="009D0D69" w:rsidRDefault="00DB56B3" w:rsidP="585CE774">
            <w:pPr>
              <w:rPr>
                <w:rFonts w:eastAsia="Calibri"/>
                <w:sz w:val="22"/>
                <w:szCs w:val="22"/>
              </w:rPr>
            </w:pPr>
          </w:p>
        </w:tc>
        <w:tc>
          <w:tcPr>
            <w:tcW w:w="1275" w:type="dxa"/>
          </w:tcPr>
          <w:p w14:paraId="33C95F2E" w14:textId="77777777" w:rsidR="00DB56B3" w:rsidRPr="003D2F98" w:rsidRDefault="00DB56B3" w:rsidP="585CE774">
            <w:pPr>
              <w:rPr>
                <w:rFonts w:eastAsia="Calibri"/>
                <w:sz w:val="22"/>
                <w:szCs w:val="22"/>
              </w:rPr>
            </w:pPr>
            <w:r w:rsidRPr="003D2F98">
              <w:rPr>
                <w:rFonts w:eastAsia="Calibri"/>
                <w:sz w:val="22"/>
                <w:szCs w:val="22"/>
              </w:rPr>
              <w:t>16</w:t>
            </w:r>
          </w:p>
        </w:tc>
        <w:tc>
          <w:tcPr>
            <w:tcW w:w="3828" w:type="dxa"/>
          </w:tcPr>
          <w:p w14:paraId="4F5528E6" w14:textId="6202EB88" w:rsidR="00DB56B3" w:rsidRPr="003D2F98" w:rsidRDefault="25A8CE01" w:rsidP="5BD2FCF6">
            <w:pPr>
              <w:rPr>
                <w:rFonts w:eastAsia="Calibri"/>
                <w:sz w:val="22"/>
                <w:szCs w:val="22"/>
              </w:rPr>
            </w:pPr>
            <w:r w:rsidRPr="5BD2FCF6">
              <w:rPr>
                <w:rFonts w:eastAsia="Calibri"/>
                <w:sz w:val="22"/>
                <w:szCs w:val="22"/>
              </w:rPr>
              <w:t>£7</w:t>
            </w:r>
            <w:r w:rsidR="1A56912B" w:rsidRPr="5BD2FCF6">
              <w:rPr>
                <w:rFonts w:eastAsia="Calibri"/>
                <w:sz w:val="22"/>
                <w:szCs w:val="22"/>
              </w:rPr>
              <w:t>5,419</w:t>
            </w:r>
          </w:p>
        </w:tc>
      </w:tr>
      <w:tr w:rsidR="00DC1CCE" w:rsidRPr="009D0D69" w14:paraId="3AD74B53" w14:textId="77777777" w:rsidTr="5BD2FCF6">
        <w:trPr>
          <w:trHeight w:val="70"/>
        </w:trPr>
        <w:tc>
          <w:tcPr>
            <w:tcW w:w="1985" w:type="dxa"/>
          </w:tcPr>
          <w:p w14:paraId="01DF078F" w14:textId="77777777" w:rsidR="00DB56B3" w:rsidRPr="009D0D69" w:rsidRDefault="00DB56B3" w:rsidP="585CE774">
            <w:pPr>
              <w:rPr>
                <w:rFonts w:eastAsia="Calibri"/>
                <w:sz w:val="22"/>
                <w:szCs w:val="22"/>
              </w:rPr>
            </w:pPr>
          </w:p>
        </w:tc>
        <w:tc>
          <w:tcPr>
            <w:tcW w:w="1275" w:type="dxa"/>
          </w:tcPr>
          <w:p w14:paraId="643198A4" w14:textId="77777777" w:rsidR="00DB56B3" w:rsidRPr="003D2F98" w:rsidRDefault="00DB56B3" w:rsidP="585CE774">
            <w:pPr>
              <w:rPr>
                <w:rFonts w:eastAsia="Calibri"/>
                <w:sz w:val="22"/>
                <w:szCs w:val="22"/>
              </w:rPr>
            </w:pPr>
            <w:r w:rsidRPr="003D2F98">
              <w:rPr>
                <w:rFonts w:eastAsia="Calibri"/>
                <w:sz w:val="22"/>
                <w:szCs w:val="22"/>
              </w:rPr>
              <w:t>17</w:t>
            </w:r>
          </w:p>
        </w:tc>
        <w:tc>
          <w:tcPr>
            <w:tcW w:w="3828" w:type="dxa"/>
          </w:tcPr>
          <w:p w14:paraId="5DB9C56A" w14:textId="0E6A936C" w:rsidR="00DB56B3" w:rsidRPr="003D2F98" w:rsidRDefault="25A8CE01" w:rsidP="5BD2FCF6">
            <w:pPr>
              <w:rPr>
                <w:rFonts w:eastAsia="Calibri"/>
                <w:sz w:val="22"/>
                <w:szCs w:val="22"/>
              </w:rPr>
            </w:pPr>
            <w:r w:rsidRPr="5BD2FCF6">
              <w:rPr>
                <w:rFonts w:eastAsia="Calibri"/>
                <w:sz w:val="22"/>
                <w:szCs w:val="22"/>
              </w:rPr>
              <w:t>£7</w:t>
            </w:r>
            <w:r w:rsidR="407FEA48" w:rsidRPr="5BD2FCF6">
              <w:rPr>
                <w:rFonts w:eastAsia="Calibri"/>
                <w:sz w:val="22"/>
                <w:szCs w:val="22"/>
              </w:rPr>
              <w:t>7,150</w:t>
            </w:r>
          </w:p>
        </w:tc>
      </w:tr>
      <w:tr w:rsidR="003D2F98" w:rsidRPr="003D2F98" w14:paraId="46E84C23" w14:textId="77777777" w:rsidTr="5BD2FCF6">
        <w:trPr>
          <w:trHeight w:val="70"/>
        </w:trPr>
        <w:tc>
          <w:tcPr>
            <w:tcW w:w="1985" w:type="dxa"/>
          </w:tcPr>
          <w:p w14:paraId="7071847E" w14:textId="77777777" w:rsidR="00DB56B3" w:rsidRPr="009D0D69" w:rsidRDefault="00DB56B3" w:rsidP="585CE774">
            <w:pPr>
              <w:rPr>
                <w:rFonts w:eastAsia="Calibri"/>
                <w:b/>
                <w:bCs/>
                <w:sz w:val="22"/>
                <w:szCs w:val="22"/>
              </w:rPr>
            </w:pPr>
            <w:r w:rsidRPr="585CE774">
              <w:rPr>
                <w:rFonts w:eastAsia="Calibri"/>
                <w:b/>
                <w:bCs/>
                <w:sz w:val="22"/>
                <w:szCs w:val="22"/>
              </w:rPr>
              <w:t>Maximum</w:t>
            </w:r>
          </w:p>
        </w:tc>
        <w:tc>
          <w:tcPr>
            <w:tcW w:w="1275" w:type="dxa"/>
          </w:tcPr>
          <w:p w14:paraId="4DF4D1B4" w14:textId="77777777" w:rsidR="00DB56B3" w:rsidRPr="003D2F98" w:rsidRDefault="00DB56B3" w:rsidP="585CE774">
            <w:pPr>
              <w:rPr>
                <w:rFonts w:eastAsia="Calibri"/>
                <w:sz w:val="22"/>
                <w:szCs w:val="22"/>
              </w:rPr>
            </w:pPr>
            <w:r w:rsidRPr="003D2F98">
              <w:rPr>
                <w:rFonts w:eastAsia="Calibri"/>
                <w:sz w:val="22"/>
                <w:szCs w:val="22"/>
              </w:rPr>
              <w:t>18</w:t>
            </w:r>
          </w:p>
        </w:tc>
        <w:tc>
          <w:tcPr>
            <w:tcW w:w="3828" w:type="dxa"/>
          </w:tcPr>
          <w:p w14:paraId="441DD103" w14:textId="143A95F5" w:rsidR="00DB56B3" w:rsidRPr="003D2F98" w:rsidRDefault="28AE42AB" w:rsidP="5BD2FCF6">
            <w:pPr>
              <w:rPr>
                <w:rFonts w:eastAsia="Calibri"/>
                <w:sz w:val="22"/>
                <w:szCs w:val="22"/>
              </w:rPr>
            </w:pPr>
            <w:r w:rsidRPr="5BD2FCF6">
              <w:rPr>
                <w:rFonts w:eastAsia="Calibri"/>
                <w:sz w:val="22"/>
                <w:szCs w:val="22"/>
              </w:rPr>
              <w:t>£</w:t>
            </w:r>
            <w:r w:rsidR="7A116C75" w:rsidRPr="5BD2FCF6">
              <w:rPr>
                <w:sz w:val="22"/>
                <w:szCs w:val="22"/>
                <w:shd w:val="clear" w:color="auto" w:fill="FFFFFF"/>
              </w:rPr>
              <w:t>7</w:t>
            </w:r>
            <w:r w:rsidR="3C91E3CE" w:rsidRPr="5BD2FCF6">
              <w:rPr>
                <w:sz w:val="22"/>
                <w:szCs w:val="22"/>
                <w:shd w:val="clear" w:color="auto" w:fill="FFFFFF"/>
              </w:rPr>
              <w:t>9,092</w:t>
            </w:r>
          </w:p>
        </w:tc>
      </w:tr>
    </w:tbl>
    <w:p w14:paraId="48160DA2" w14:textId="385DD709" w:rsidR="00394C8F" w:rsidRDefault="00394C8F" w:rsidP="6BEBBADE">
      <w:pPr>
        <w:rPr>
          <w:sz w:val="22"/>
          <w:szCs w:val="22"/>
        </w:rPr>
      </w:pPr>
    </w:p>
    <w:p w14:paraId="4C30E665" w14:textId="62EE4B0F" w:rsidR="6BEBBADE" w:rsidRDefault="6BEBBADE" w:rsidP="6BEBBADE">
      <w:pPr>
        <w:rPr>
          <w:sz w:val="22"/>
          <w:szCs w:val="22"/>
        </w:rPr>
      </w:pPr>
      <w:bookmarkStart w:id="52" w:name="utpr"/>
    </w:p>
    <w:p w14:paraId="112A2BFF" w14:textId="77777777" w:rsidR="00394C8F" w:rsidRDefault="00394C8F" w:rsidP="585CE774">
      <w:pPr>
        <w:rPr>
          <w:sz w:val="22"/>
          <w:szCs w:val="22"/>
        </w:rPr>
      </w:pPr>
    </w:p>
    <w:p w14:paraId="73B68DE0" w14:textId="19D53437" w:rsidR="00D823A5" w:rsidRPr="00AD0FCE" w:rsidRDefault="00D823A5" w:rsidP="6BEBBADE">
      <w:pPr>
        <w:ind w:firstLine="720"/>
        <w:rPr>
          <w:szCs w:val="24"/>
        </w:rPr>
      </w:pPr>
      <w:r w:rsidRPr="6BEBBADE">
        <w:rPr>
          <w:b/>
          <w:bCs/>
          <w:szCs w:val="24"/>
        </w:rPr>
        <w:t>Unqualified Teachers Pay Range</w:t>
      </w:r>
      <w:bookmarkEnd w:id="52"/>
    </w:p>
    <w:p w14:paraId="74A2BA15" w14:textId="4C421BE2" w:rsidR="00DB56B3" w:rsidRPr="009D0D69" w:rsidRDefault="00DB56B3" w:rsidP="585CE774">
      <w:pPr>
        <w:rPr>
          <w:sz w:val="22"/>
          <w:szCs w:val="22"/>
        </w:rPr>
      </w:pPr>
    </w:p>
    <w:p w14:paraId="7E9A8907" w14:textId="28F6875F" w:rsidR="00D823A5" w:rsidRPr="009D0D69" w:rsidRDefault="00D823A5" w:rsidP="585CE774">
      <w:pPr>
        <w:ind w:left="720"/>
      </w:pPr>
      <w:r>
        <w:t>The unqualified teacher pay range is:</w:t>
      </w:r>
    </w:p>
    <w:p w14:paraId="0987DF03" w14:textId="77777777" w:rsidR="00D823A5" w:rsidRPr="009D0D69" w:rsidRDefault="00D823A5" w:rsidP="585CE774"/>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417"/>
        <w:gridCol w:w="3686"/>
      </w:tblGrid>
      <w:tr w:rsidR="00DC1CCE" w:rsidRPr="009D0D69" w14:paraId="0BA7A946" w14:textId="77777777" w:rsidTr="5BD2FCF6">
        <w:tc>
          <w:tcPr>
            <w:tcW w:w="1985" w:type="dxa"/>
            <w:tcBorders>
              <w:right w:val="nil"/>
            </w:tcBorders>
          </w:tcPr>
          <w:p w14:paraId="3C83272B" w14:textId="77777777" w:rsidR="00D823A5" w:rsidRPr="003D2F98" w:rsidRDefault="00D823A5" w:rsidP="585CE774">
            <w:pPr>
              <w:jc w:val="center"/>
              <w:rPr>
                <w:rFonts w:eastAsia="Calibri"/>
                <w:b/>
                <w:bCs/>
                <w:sz w:val="22"/>
                <w:szCs w:val="22"/>
              </w:rPr>
            </w:pPr>
            <w:r w:rsidRPr="003D2F98">
              <w:rPr>
                <w:rFonts w:eastAsia="Calibri"/>
                <w:b/>
                <w:bCs/>
                <w:sz w:val="22"/>
                <w:szCs w:val="22"/>
              </w:rPr>
              <w:t>Point</w:t>
            </w:r>
          </w:p>
        </w:tc>
        <w:tc>
          <w:tcPr>
            <w:tcW w:w="1417" w:type="dxa"/>
            <w:tcBorders>
              <w:left w:val="nil"/>
            </w:tcBorders>
          </w:tcPr>
          <w:p w14:paraId="0E82757D" w14:textId="77777777" w:rsidR="00D823A5" w:rsidRPr="003D2F98" w:rsidRDefault="00D823A5" w:rsidP="585CE774">
            <w:pPr>
              <w:rPr>
                <w:rFonts w:eastAsia="Calibri"/>
                <w:sz w:val="22"/>
                <w:szCs w:val="22"/>
              </w:rPr>
            </w:pPr>
          </w:p>
        </w:tc>
        <w:tc>
          <w:tcPr>
            <w:tcW w:w="3686" w:type="dxa"/>
          </w:tcPr>
          <w:p w14:paraId="3DE20039" w14:textId="77777777" w:rsidR="00D823A5" w:rsidRPr="003D2F98" w:rsidRDefault="00D823A5" w:rsidP="585CE774">
            <w:pPr>
              <w:jc w:val="center"/>
              <w:rPr>
                <w:rFonts w:eastAsia="Calibri"/>
                <w:b/>
                <w:bCs/>
                <w:sz w:val="22"/>
                <w:szCs w:val="22"/>
              </w:rPr>
            </w:pPr>
            <w:r w:rsidRPr="003D2F98">
              <w:rPr>
                <w:rFonts w:eastAsia="Calibri"/>
                <w:b/>
                <w:bCs/>
                <w:sz w:val="22"/>
                <w:szCs w:val="22"/>
              </w:rPr>
              <w:t>Salary</w:t>
            </w:r>
          </w:p>
          <w:p w14:paraId="222F4CF2" w14:textId="77777777" w:rsidR="00D823A5" w:rsidRPr="003D2F98" w:rsidRDefault="00D823A5" w:rsidP="585CE774">
            <w:pPr>
              <w:jc w:val="center"/>
              <w:rPr>
                <w:rFonts w:eastAsia="Calibri"/>
                <w:sz w:val="22"/>
                <w:szCs w:val="22"/>
              </w:rPr>
            </w:pPr>
          </w:p>
        </w:tc>
      </w:tr>
      <w:tr w:rsidR="00DC1CCE" w:rsidRPr="009D0D69" w14:paraId="1E668716" w14:textId="77777777" w:rsidTr="5BD2FCF6">
        <w:trPr>
          <w:trHeight w:val="300"/>
        </w:trPr>
        <w:tc>
          <w:tcPr>
            <w:tcW w:w="1985" w:type="dxa"/>
          </w:tcPr>
          <w:p w14:paraId="3A158F3D" w14:textId="77777777" w:rsidR="00D823A5" w:rsidRPr="003D2F98" w:rsidRDefault="00D823A5" w:rsidP="585CE774">
            <w:pPr>
              <w:rPr>
                <w:rFonts w:eastAsia="Calibri"/>
                <w:b/>
                <w:bCs/>
                <w:sz w:val="22"/>
                <w:szCs w:val="22"/>
              </w:rPr>
            </w:pPr>
            <w:r w:rsidRPr="003D2F98">
              <w:rPr>
                <w:rFonts w:eastAsia="Calibri"/>
                <w:b/>
                <w:bCs/>
                <w:sz w:val="22"/>
                <w:szCs w:val="22"/>
              </w:rPr>
              <w:lastRenderedPageBreak/>
              <w:t>Minimum</w:t>
            </w:r>
            <w:r w:rsidRPr="003D2F98">
              <w:rPr>
                <w:sz w:val="22"/>
                <w:szCs w:val="22"/>
              </w:rPr>
              <w:tab/>
            </w:r>
          </w:p>
        </w:tc>
        <w:tc>
          <w:tcPr>
            <w:tcW w:w="1417" w:type="dxa"/>
          </w:tcPr>
          <w:p w14:paraId="6824E276" w14:textId="77777777" w:rsidR="00D823A5" w:rsidRPr="003D2F98" w:rsidRDefault="00D823A5" w:rsidP="585CE774">
            <w:pPr>
              <w:rPr>
                <w:rFonts w:eastAsia="Calibri"/>
                <w:sz w:val="22"/>
                <w:szCs w:val="22"/>
              </w:rPr>
            </w:pPr>
            <w:r w:rsidRPr="003D2F98">
              <w:rPr>
                <w:rFonts w:eastAsia="Calibri"/>
                <w:sz w:val="22"/>
                <w:szCs w:val="22"/>
              </w:rPr>
              <w:t>1</w:t>
            </w:r>
          </w:p>
        </w:tc>
        <w:tc>
          <w:tcPr>
            <w:tcW w:w="3686" w:type="dxa"/>
          </w:tcPr>
          <w:p w14:paraId="6A10B7C2" w14:textId="6025E358" w:rsidR="00D823A5" w:rsidRPr="003D2F98" w:rsidRDefault="347EDE2E" w:rsidP="5BD2FCF6">
            <w:pPr>
              <w:rPr>
                <w:rFonts w:eastAsia="Calibri"/>
                <w:sz w:val="22"/>
                <w:szCs w:val="22"/>
              </w:rPr>
            </w:pPr>
            <w:r w:rsidRPr="5BD2FCF6">
              <w:rPr>
                <w:rFonts w:eastAsia="Calibri"/>
                <w:sz w:val="22"/>
                <w:szCs w:val="22"/>
              </w:rPr>
              <w:t>£</w:t>
            </w:r>
            <w:r w:rsidR="38E835FB" w:rsidRPr="5BD2FCF6">
              <w:rPr>
                <w:sz w:val="22"/>
                <w:szCs w:val="22"/>
              </w:rPr>
              <w:t>2</w:t>
            </w:r>
            <w:r w:rsidR="1C95F220" w:rsidRPr="5BD2FCF6">
              <w:rPr>
                <w:sz w:val="22"/>
                <w:szCs w:val="22"/>
              </w:rPr>
              <w:t>2,601</w:t>
            </w:r>
          </w:p>
        </w:tc>
      </w:tr>
      <w:tr w:rsidR="00DC1CCE" w:rsidRPr="009D0D69" w14:paraId="4A84F348" w14:textId="77777777" w:rsidTr="5BD2FCF6">
        <w:tc>
          <w:tcPr>
            <w:tcW w:w="1985" w:type="dxa"/>
          </w:tcPr>
          <w:p w14:paraId="5E592943" w14:textId="21109A6D" w:rsidR="00D823A5" w:rsidRPr="003D2F98" w:rsidRDefault="00D823A5" w:rsidP="585CE774">
            <w:pPr>
              <w:rPr>
                <w:rFonts w:eastAsia="Calibri"/>
                <w:sz w:val="22"/>
                <w:szCs w:val="22"/>
              </w:rPr>
            </w:pPr>
          </w:p>
        </w:tc>
        <w:tc>
          <w:tcPr>
            <w:tcW w:w="1417" w:type="dxa"/>
          </w:tcPr>
          <w:p w14:paraId="1D90DA1D" w14:textId="77777777" w:rsidR="00D823A5" w:rsidRPr="003D2F98" w:rsidRDefault="00D823A5" w:rsidP="585CE774">
            <w:pPr>
              <w:rPr>
                <w:rFonts w:eastAsia="Calibri"/>
                <w:sz w:val="22"/>
                <w:szCs w:val="22"/>
              </w:rPr>
            </w:pPr>
            <w:r w:rsidRPr="003D2F98">
              <w:rPr>
                <w:rFonts w:eastAsia="Calibri"/>
                <w:sz w:val="22"/>
                <w:szCs w:val="22"/>
              </w:rPr>
              <w:t>2</w:t>
            </w:r>
          </w:p>
        </w:tc>
        <w:tc>
          <w:tcPr>
            <w:tcW w:w="3686" w:type="dxa"/>
          </w:tcPr>
          <w:p w14:paraId="590C5E27" w14:textId="3B5FF380" w:rsidR="00D823A5" w:rsidRPr="003D2F98" w:rsidRDefault="347EDE2E" w:rsidP="5BD2FCF6">
            <w:pPr>
              <w:rPr>
                <w:rFonts w:eastAsia="Calibri"/>
                <w:sz w:val="22"/>
                <w:szCs w:val="22"/>
              </w:rPr>
            </w:pPr>
            <w:r w:rsidRPr="5BD2FCF6">
              <w:rPr>
                <w:rFonts w:eastAsia="Calibri"/>
                <w:sz w:val="22"/>
                <w:szCs w:val="22"/>
              </w:rPr>
              <w:t>£</w:t>
            </w:r>
            <w:r w:rsidR="18B14BD9" w:rsidRPr="5BD2FCF6">
              <w:rPr>
                <w:rFonts w:eastAsia="Calibri"/>
                <w:sz w:val="22"/>
                <w:szCs w:val="22"/>
              </w:rPr>
              <w:t>25,193</w:t>
            </w:r>
          </w:p>
        </w:tc>
      </w:tr>
      <w:tr w:rsidR="00DC1CCE" w:rsidRPr="009D0D69" w14:paraId="07A3B0A6" w14:textId="77777777" w:rsidTr="5BD2FCF6">
        <w:tc>
          <w:tcPr>
            <w:tcW w:w="1985" w:type="dxa"/>
          </w:tcPr>
          <w:p w14:paraId="6975E752" w14:textId="77777777" w:rsidR="00D823A5" w:rsidRPr="003D2F98" w:rsidRDefault="00D823A5" w:rsidP="585CE774">
            <w:pPr>
              <w:rPr>
                <w:rFonts w:eastAsia="Calibri"/>
                <w:sz w:val="22"/>
                <w:szCs w:val="22"/>
              </w:rPr>
            </w:pPr>
          </w:p>
        </w:tc>
        <w:tc>
          <w:tcPr>
            <w:tcW w:w="1417" w:type="dxa"/>
          </w:tcPr>
          <w:p w14:paraId="6B3830A5" w14:textId="77777777" w:rsidR="00D823A5" w:rsidRPr="003D2F98" w:rsidRDefault="00D823A5" w:rsidP="585CE774">
            <w:pPr>
              <w:rPr>
                <w:rFonts w:eastAsia="Calibri"/>
                <w:sz w:val="22"/>
                <w:szCs w:val="22"/>
              </w:rPr>
            </w:pPr>
            <w:r w:rsidRPr="003D2F98">
              <w:rPr>
                <w:rFonts w:eastAsia="Calibri"/>
                <w:sz w:val="22"/>
                <w:szCs w:val="22"/>
              </w:rPr>
              <w:t>3</w:t>
            </w:r>
          </w:p>
        </w:tc>
        <w:tc>
          <w:tcPr>
            <w:tcW w:w="3686" w:type="dxa"/>
          </w:tcPr>
          <w:p w14:paraId="65AF0D72" w14:textId="031206B2" w:rsidR="00D823A5" w:rsidRPr="003D2F98" w:rsidRDefault="347EDE2E" w:rsidP="5BD2FCF6">
            <w:pPr>
              <w:rPr>
                <w:rFonts w:eastAsia="Calibri"/>
                <w:sz w:val="22"/>
                <w:szCs w:val="22"/>
              </w:rPr>
            </w:pPr>
            <w:r w:rsidRPr="5BD2FCF6">
              <w:rPr>
                <w:rFonts w:eastAsia="Calibri"/>
                <w:sz w:val="22"/>
                <w:szCs w:val="22"/>
              </w:rPr>
              <w:t>£</w:t>
            </w:r>
            <w:r w:rsidRPr="5BD2FCF6">
              <w:rPr>
                <w:sz w:val="22"/>
                <w:szCs w:val="22"/>
              </w:rPr>
              <w:t>2</w:t>
            </w:r>
            <w:r w:rsidR="0EC289AA" w:rsidRPr="5BD2FCF6">
              <w:rPr>
                <w:sz w:val="22"/>
                <w:szCs w:val="22"/>
              </w:rPr>
              <w:t>7,785</w:t>
            </w:r>
          </w:p>
        </w:tc>
      </w:tr>
      <w:tr w:rsidR="00DC1CCE" w:rsidRPr="009D0D69" w14:paraId="5CA10C17" w14:textId="77777777" w:rsidTr="5BD2FCF6">
        <w:tc>
          <w:tcPr>
            <w:tcW w:w="1985" w:type="dxa"/>
          </w:tcPr>
          <w:p w14:paraId="2DBC88CD" w14:textId="77777777" w:rsidR="00D823A5" w:rsidRPr="003D2F98" w:rsidRDefault="00D823A5" w:rsidP="585CE774">
            <w:pPr>
              <w:rPr>
                <w:rFonts w:eastAsia="Calibri"/>
                <w:sz w:val="22"/>
                <w:szCs w:val="22"/>
              </w:rPr>
            </w:pPr>
          </w:p>
        </w:tc>
        <w:tc>
          <w:tcPr>
            <w:tcW w:w="1417" w:type="dxa"/>
          </w:tcPr>
          <w:p w14:paraId="34D8F8AA" w14:textId="77777777" w:rsidR="00D823A5" w:rsidRPr="003D2F98" w:rsidRDefault="00D823A5" w:rsidP="585CE774">
            <w:pPr>
              <w:rPr>
                <w:rFonts w:eastAsia="Calibri"/>
                <w:sz w:val="22"/>
                <w:szCs w:val="22"/>
              </w:rPr>
            </w:pPr>
            <w:r w:rsidRPr="003D2F98">
              <w:rPr>
                <w:rFonts w:eastAsia="Calibri"/>
                <w:sz w:val="22"/>
                <w:szCs w:val="22"/>
              </w:rPr>
              <w:t>4</w:t>
            </w:r>
          </w:p>
        </w:tc>
        <w:tc>
          <w:tcPr>
            <w:tcW w:w="3686" w:type="dxa"/>
          </w:tcPr>
          <w:p w14:paraId="02C86395" w14:textId="7CFCD6E2" w:rsidR="00D823A5" w:rsidRPr="003D2F98" w:rsidRDefault="347EDE2E" w:rsidP="5BD2FCF6">
            <w:pPr>
              <w:rPr>
                <w:rFonts w:eastAsia="Calibri"/>
                <w:sz w:val="22"/>
                <w:szCs w:val="22"/>
              </w:rPr>
            </w:pPr>
            <w:r w:rsidRPr="5BD2FCF6">
              <w:rPr>
                <w:rFonts w:eastAsia="Calibri"/>
                <w:sz w:val="22"/>
                <w:szCs w:val="22"/>
              </w:rPr>
              <w:t>£</w:t>
            </w:r>
            <w:r w:rsidR="3B701F61" w:rsidRPr="5BD2FCF6">
              <w:rPr>
                <w:rFonts w:eastAsia="Calibri"/>
                <w:sz w:val="22"/>
                <w:szCs w:val="22"/>
              </w:rPr>
              <w:t>30,071</w:t>
            </w:r>
          </w:p>
        </w:tc>
      </w:tr>
      <w:tr w:rsidR="00DC1CCE" w:rsidRPr="009D0D69" w14:paraId="169CF32C" w14:textId="77777777" w:rsidTr="5BD2FCF6">
        <w:tc>
          <w:tcPr>
            <w:tcW w:w="1985" w:type="dxa"/>
          </w:tcPr>
          <w:p w14:paraId="2959BAB5" w14:textId="77777777" w:rsidR="00D823A5" w:rsidRPr="003D2F98" w:rsidRDefault="00D823A5" w:rsidP="585CE774">
            <w:pPr>
              <w:rPr>
                <w:rFonts w:eastAsia="Calibri"/>
                <w:sz w:val="22"/>
                <w:szCs w:val="22"/>
              </w:rPr>
            </w:pPr>
          </w:p>
        </w:tc>
        <w:tc>
          <w:tcPr>
            <w:tcW w:w="1417" w:type="dxa"/>
          </w:tcPr>
          <w:p w14:paraId="725C6EE5" w14:textId="77777777" w:rsidR="00D823A5" w:rsidRPr="003D2F98" w:rsidRDefault="00D823A5" w:rsidP="585CE774">
            <w:pPr>
              <w:rPr>
                <w:rFonts w:eastAsia="Calibri"/>
                <w:sz w:val="22"/>
                <w:szCs w:val="22"/>
              </w:rPr>
            </w:pPr>
            <w:r w:rsidRPr="003D2F98">
              <w:rPr>
                <w:rFonts w:eastAsia="Calibri"/>
                <w:sz w:val="22"/>
                <w:szCs w:val="22"/>
              </w:rPr>
              <w:t>5</w:t>
            </w:r>
          </w:p>
        </w:tc>
        <w:tc>
          <w:tcPr>
            <w:tcW w:w="3686" w:type="dxa"/>
          </w:tcPr>
          <w:p w14:paraId="5F17296C" w14:textId="3CEB7169" w:rsidR="00D823A5" w:rsidRPr="003D2F98" w:rsidRDefault="347EDE2E" w:rsidP="5BD2FCF6">
            <w:pPr>
              <w:rPr>
                <w:rFonts w:eastAsia="Calibri"/>
                <w:sz w:val="22"/>
                <w:szCs w:val="22"/>
              </w:rPr>
            </w:pPr>
            <w:r w:rsidRPr="5BD2FCF6">
              <w:rPr>
                <w:rFonts w:eastAsia="Calibri"/>
                <w:sz w:val="22"/>
                <w:szCs w:val="22"/>
              </w:rPr>
              <w:t>£</w:t>
            </w:r>
            <w:r w:rsidR="2ECB59DE" w:rsidRPr="5BD2FCF6">
              <w:rPr>
                <w:rFonts w:eastAsia="Calibri"/>
                <w:sz w:val="22"/>
                <w:szCs w:val="22"/>
              </w:rPr>
              <w:t>32,667</w:t>
            </w:r>
          </w:p>
        </w:tc>
      </w:tr>
      <w:tr w:rsidR="00D823A5" w:rsidRPr="009D0D69" w14:paraId="10D5864E" w14:textId="77777777" w:rsidTr="5BD2FCF6">
        <w:tc>
          <w:tcPr>
            <w:tcW w:w="1985" w:type="dxa"/>
          </w:tcPr>
          <w:p w14:paraId="1E2997C8" w14:textId="77777777" w:rsidR="00D823A5" w:rsidRPr="003D2F98" w:rsidRDefault="00D823A5" w:rsidP="585CE774">
            <w:pPr>
              <w:rPr>
                <w:rFonts w:eastAsia="Calibri"/>
                <w:b/>
                <w:bCs/>
                <w:sz w:val="22"/>
                <w:szCs w:val="22"/>
              </w:rPr>
            </w:pPr>
            <w:r w:rsidRPr="003D2F98">
              <w:rPr>
                <w:rFonts w:eastAsia="Calibri"/>
                <w:b/>
                <w:bCs/>
                <w:sz w:val="22"/>
                <w:szCs w:val="22"/>
              </w:rPr>
              <w:t>Maximum</w:t>
            </w:r>
          </w:p>
        </w:tc>
        <w:tc>
          <w:tcPr>
            <w:tcW w:w="1417" w:type="dxa"/>
          </w:tcPr>
          <w:p w14:paraId="3CB0A15B" w14:textId="77777777" w:rsidR="00D823A5" w:rsidRPr="003D2F98" w:rsidRDefault="00D823A5" w:rsidP="585CE774">
            <w:pPr>
              <w:rPr>
                <w:rFonts w:eastAsia="Calibri"/>
                <w:sz w:val="22"/>
                <w:szCs w:val="22"/>
              </w:rPr>
            </w:pPr>
            <w:r w:rsidRPr="003D2F98">
              <w:rPr>
                <w:rFonts w:eastAsia="Calibri"/>
                <w:sz w:val="22"/>
                <w:szCs w:val="22"/>
              </w:rPr>
              <w:t>6</w:t>
            </w:r>
          </w:p>
        </w:tc>
        <w:tc>
          <w:tcPr>
            <w:tcW w:w="3686" w:type="dxa"/>
          </w:tcPr>
          <w:p w14:paraId="5F2B07C2" w14:textId="173BA7D4" w:rsidR="00D823A5" w:rsidRPr="003D2F98" w:rsidRDefault="347EDE2E" w:rsidP="5BD2FCF6">
            <w:pPr>
              <w:rPr>
                <w:rFonts w:eastAsia="Calibri"/>
                <w:sz w:val="22"/>
                <w:szCs w:val="22"/>
              </w:rPr>
            </w:pPr>
            <w:r w:rsidRPr="5BD2FCF6">
              <w:rPr>
                <w:rFonts w:eastAsia="Calibri"/>
                <w:sz w:val="22"/>
                <w:szCs w:val="22"/>
              </w:rPr>
              <w:t>£</w:t>
            </w:r>
            <w:r w:rsidR="4CB62099" w:rsidRPr="5BD2FCF6">
              <w:rPr>
                <w:rFonts w:eastAsia="Calibri"/>
                <w:sz w:val="22"/>
                <w:szCs w:val="22"/>
              </w:rPr>
              <w:t>35,259</w:t>
            </w:r>
          </w:p>
        </w:tc>
      </w:tr>
    </w:tbl>
    <w:p w14:paraId="6A8E163B" w14:textId="77777777" w:rsidR="00D823A5" w:rsidRPr="009D0D69" w:rsidRDefault="00D823A5" w:rsidP="585CE774"/>
    <w:p w14:paraId="699402A8" w14:textId="77777777" w:rsidR="00AD0FCE" w:rsidRDefault="00AD0FCE" w:rsidP="585CE774">
      <w:pPr>
        <w:rPr>
          <w:szCs w:val="24"/>
        </w:rPr>
      </w:pPr>
      <w:bookmarkStart w:id="53" w:name="TLRPR"/>
    </w:p>
    <w:p w14:paraId="098BE192" w14:textId="03081ED8" w:rsidR="004F60E3" w:rsidRPr="00AD0FCE" w:rsidRDefault="004F60E3" w:rsidP="00394C8F">
      <w:pPr>
        <w:ind w:firstLine="720"/>
      </w:pPr>
      <w:r w:rsidRPr="1011A7CF">
        <w:rPr>
          <w:b/>
          <w:bCs/>
        </w:rPr>
        <w:t xml:space="preserve">Teaching and Learning Responsibility Payments </w:t>
      </w:r>
    </w:p>
    <w:bookmarkEnd w:id="53"/>
    <w:p w14:paraId="6A4AD044" w14:textId="77777777" w:rsidR="004F60E3" w:rsidRPr="009D0D69" w:rsidRDefault="004F60E3" w:rsidP="585CE774"/>
    <w:p w14:paraId="3FAB2843" w14:textId="77777777" w:rsidR="004F60E3" w:rsidRPr="009D0D69" w:rsidRDefault="004F60E3" w:rsidP="585CE774"/>
    <w:tbl>
      <w:tblPr>
        <w:tblW w:w="60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119"/>
      </w:tblGrid>
      <w:tr w:rsidR="00DC1CCE" w:rsidRPr="009D0D69" w14:paraId="14651C54" w14:textId="77777777" w:rsidTr="5BD2FCF6">
        <w:tc>
          <w:tcPr>
            <w:tcW w:w="2977" w:type="dxa"/>
            <w:tcBorders>
              <w:right w:val="nil"/>
            </w:tcBorders>
          </w:tcPr>
          <w:p w14:paraId="15A4507E" w14:textId="77777777" w:rsidR="004F60E3" w:rsidRPr="009D0D69" w:rsidRDefault="004F60E3" w:rsidP="585CE774">
            <w:pPr>
              <w:jc w:val="center"/>
              <w:rPr>
                <w:rFonts w:eastAsia="Calibri"/>
                <w:b/>
                <w:bCs/>
                <w:sz w:val="22"/>
                <w:szCs w:val="22"/>
              </w:rPr>
            </w:pPr>
            <w:r w:rsidRPr="585CE774">
              <w:rPr>
                <w:rFonts w:eastAsia="Calibri"/>
                <w:b/>
                <w:bCs/>
                <w:sz w:val="22"/>
                <w:szCs w:val="22"/>
              </w:rPr>
              <w:t>TLR</w:t>
            </w:r>
          </w:p>
        </w:tc>
        <w:tc>
          <w:tcPr>
            <w:tcW w:w="3119" w:type="dxa"/>
          </w:tcPr>
          <w:p w14:paraId="5BB0C086" w14:textId="77777777" w:rsidR="004F60E3" w:rsidRPr="009D0D69" w:rsidRDefault="004F60E3" w:rsidP="585CE774">
            <w:pPr>
              <w:jc w:val="center"/>
              <w:rPr>
                <w:rFonts w:eastAsia="Calibri"/>
                <w:b/>
                <w:bCs/>
                <w:sz w:val="22"/>
                <w:szCs w:val="22"/>
              </w:rPr>
            </w:pPr>
            <w:r w:rsidRPr="585CE774">
              <w:rPr>
                <w:rFonts w:eastAsia="Calibri"/>
                <w:b/>
                <w:bCs/>
                <w:sz w:val="22"/>
                <w:szCs w:val="22"/>
              </w:rPr>
              <w:t>Salary</w:t>
            </w:r>
          </w:p>
          <w:p w14:paraId="26D6AAD9" w14:textId="77777777" w:rsidR="004F60E3" w:rsidRPr="009D0D69" w:rsidRDefault="004F60E3" w:rsidP="585CE774">
            <w:pPr>
              <w:jc w:val="center"/>
              <w:rPr>
                <w:rFonts w:eastAsia="Calibri"/>
                <w:sz w:val="22"/>
                <w:szCs w:val="22"/>
              </w:rPr>
            </w:pPr>
          </w:p>
        </w:tc>
      </w:tr>
      <w:tr w:rsidR="00DC1CCE" w:rsidRPr="009D0D69" w14:paraId="7C271332" w14:textId="77777777" w:rsidTr="5BD2FCF6">
        <w:tc>
          <w:tcPr>
            <w:tcW w:w="2977" w:type="dxa"/>
          </w:tcPr>
          <w:p w14:paraId="05FC7FA9" w14:textId="77777777" w:rsidR="004F60E3" w:rsidRPr="009D0D69" w:rsidRDefault="004F60E3" w:rsidP="585CE774">
            <w:pPr>
              <w:rPr>
                <w:rFonts w:eastAsia="Calibri"/>
                <w:sz w:val="22"/>
                <w:szCs w:val="22"/>
              </w:rPr>
            </w:pPr>
            <w:r w:rsidRPr="585CE774">
              <w:rPr>
                <w:rFonts w:eastAsia="Calibri"/>
                <w:sz w:val="22"/>
                <w:szCs w:val="22"/>
              </w:rPr>
              <w:t>TLR 1a</w:t>
            </w:r>
          </w:p>
        </w:tc>
        <w:tc>
          <w:tcPr>
            <w:tcW w:w="3119" w:type="dxa"/>
          </w:tcPr>
          <w:p w14:paraId="42BA3243" w14:textId="4ADBD960" w:rsidR="004F60E3" w:rsidRPr="00964A76" w:rsidRDefault="7106D4E4" w:rsidP="5BD2FCF6">
            <w:r>
              <w:t>£</w:t>
            </w:r>
            <w:r w:rsidR="63610063">
              <w:t>10,174</w:t>
            </w:r>
          </w:p>
        </w:tc>
      </w:tr>
      <w:tr w:rsidR="00DC1CCE" w:rsidRPr="009D0D69" w14:paraId="7AEA4FF4" w14:textId="77777777" w:rsidTr="5BD2FCF6">
        <w:tc>
          <w:tcPr>
            <w:tcW w:w="2977" w:type="dxa"/>
          </w:tcPr>
          <w:p w14:paraId="021863B9" w14:textId="77777777" w:rsidR="004F60E3" w:rsidRPr="009D0D69" w:rsidRDefault="004F60E3" w:rsidP="585CE774">
            <w:pPr>
              <w:rPr>
                <w:rFonts w:eastAsia="Calibri"/>
                <w:sz w:val="22"/>
                <w:szCs w:val="22"/>
              </w:rPr>
            </w:pPr>
            <w:r w:rsidRPr="585CE774">
              <w:rPr>
                <w:rFonts w:eastAsia="Calibri"/>
                <w:sz w:val="22"/>
                <w:szCs w:val="22"/>
              </w:rPr>
              <w:t>TLR 1b</w:t>
            </w:r>
          </w:p>
        </w:tc>
        <w:tc>
          <w:tcPr>
            <w:tcW w:w="3119" w:type="dxa"/>
          </w:tcPr>
          <w:p w14:paraId="7CB65BBD" w14:textId="4E9B3141" w:rsidR="004F60E3" w:rsidRPr="00964A76" w:rsidRDefault="653DE9F3" w:rsidP="5BD2FCF6">
            <w:pPr>
              <w:rPr>
                <w:rFonts w:eastAsia="Aptos"/>
              </w:rPr>
            </w:pPr>
            <w:r w:rsidRPr="5BD2FCF6">
              <w:rPr>
                <w:rFonts w:eastAsia="Aptos"/>
              </w:rPr>
              <w:t>£</w:t>
            </w:r>
            <w:r w:rsidR="38A0D64D" w:rsidRPr="5BD2FCF6">
              <w:rPr>
                <w:rFonts w:eastAsia="Aptos"/>
              </w:rPr>
              <w:t>12,518</w:t>
            </w:r>
          </w:p>
        </w:tc>
      </w:tr>
      <w:tr w:rsidR="00DC1CCE" w:rsidRPr="009D0D69" w14:paraId="76D832A6" w14:textId="77777777" w:rsidTr="5BD2FCF6">
        <w:tc>
          <w:tcPr>
            <w:tcW w:w="2977" w:type="dxa"/>
          </w:tcPr>
          <w:p w14:paraId="0A0A42F3" w14:textId="77777777" w:rsidR="004F60E3" w:rsidRPr="009D0D69" w:rsidRDefault="004F60E3" w:rsidP="585CE774">
            <w:pPr>
              <w:rPr>
                <w:rFonts w:eastAsia="Calibri"/>
                <w:sz w:val="22"/>
                <w:szCs w:val="22"/>
              </w:rPr>
            </w:pPr>
            <w:r w:rsidRPr="585CE774">
              <w:rPr>
                <w:rFonts w:eastAsia="Calibri"/>
                <w:sz w:val="22"/>
                <w:szCs w:val="22"/>
              </w:rPr>
              <w:t>TLR 1c</w:t>
            </w:r>
          </w:p>
        </w:tc>
        <w:tc>
          <w:tcPr>
            <w:tcW w:w="3119" w:type="dxa"/>
          </w:tcPr>
          <w:p w14:paraId="46B708C4" w14:textId="0135D3B2" w:rsidR="004F60E3" w:rsidRPr="00964A76" w:rsidRDefault="09CE0423" w:rsidP="5BD2FCF6">
            <w:pPr>
              <w:rPr>
                <w:rFonts w:eastAsia="Arial"/>
              </w:rPr>
            </w:pPr>
            <w:r w:rsidRPr="5BD2FCF6">
              <w:rPr>
                <w:rFonts w:eastAsia="Aptos"/>
              </w:rPr>
              <w:t>£1</w:t>
            </w:r>
            <w:r w:rsidR="14F89C97" w:rsidRPr="5BD2FCF6">
              <w:rPr>
                <w:rFonts w:eastAsia="Aptos"/>
              </w:rPr>
              <w:t>4,865</w:t>
            </w:r>
          </w:p>
        </w:tc>
      </w:tr>
      <w:tr w:rsidR="00DC1CCE" w:rsidRPr="009D0D69" w14:paraId="4957F856" w14:textId="77777777" w:rsidTr="5BD2FCF6">
        <w:tc>
          <w:tcPr>
            <w:tcW w:w="2977" w:type="dxa"/>
          </w:tcPr>
          <w:p w14:paraId="5F1BF646" w14:textId="77777777" w:rsidR="004F60E3" w:rsidRPr="009D0D69" w:rsidRDefault="004F60E3" w:rsidP="585CE774">
            <w:pPr>
              <w:rPr>
                <w:rFonts w:eastAsia="Calibri"/>
                <w:sz w:val="22"/>
                <w:szCs w:val="22"/>
              </w:rPr>
            </w:pPr>
            <w:r w:rsidRPr="585CE774">
              <w:rPr>
                <w:rFonts w:eastAsia="Calibri"/>
                <w:sz w:val="22"/>
                <w:szCs w:val="22"/>
              </w:rPr>
              <w:t>TLR 1d</w:t>
            </w:r>
          </w:p>
        </w:tc>
        <w:tc>
          <w:tcPr>
            <w:tcW w:w="3119" w:type="dxa"/>
          </w:tcPr>
          <w:p w14:paraId="4EC3D1E4" w14:textId="797B4F16" w:rsidR="004F60E3" w:rsidRPr="00964A76" w:rsidRDefault="422A0E38" w:rsidP="5BD2FCF6">
            <w:pPr>
              <w:rPr>
                <w:rFonts w:eastAsia="Calibri"/>
                <w:sz w:val="22"/>
                <w:szCs w:val="22"/>
              </w:rPr>
            </w:pPr>
            <w:r>
              <w:t>£1</w:t>
            </w:r>
            <w:r w:rsidR="5D5DE1FF">
              <w:t>7,216</w:t>
            </w:r>
          </w:p>
        </w:tc>
      </w:tr>
      <w:tr w:rsidR="00DC1CCE" w:rsidRPr="009D0D69" w14:paraId="532B6DFC" w14:textId="77777777" w:rsidTr="5BD2FCF6">
        <w:tc>
          <w:tcPr>
            <w:tcW w:w="2977" w:type="dxa"/>
          </w:tcPr>
          <w:p w14:paraId="4EDED348" w14:textId="77777777" w:rsidR="004F60E3" w:rsidRPr="009D0D69" w:rsidRDefault="004F60E3" w:rsidP="585CE774">
            <w:pPr>
              <w:rPr>
                <w:rFonts w:eastAsia="Calibri"/>
                <w:sz w:val="22"/>
                <w:szCs w:val="22"/>
              </w:rPr>
            </w:pPr>
          </w:p>
        </w:tc>
        <w:tc>
          <w:tcPr>
            <w:tcW w:w="3119" w:type="dxa"/>
          </w:tcPr>
          <w:p w14:paraId="555C5B67" w14:textId="77777777" w:rsidR="004F60E3" w:rsidRPr="00964A76" w:rsidRDefault="004F60E3" w:rsidP="585CE774">
            <w:pPr>
              <w:rPr>
                <w:rFonts w:eastAsia="Calibri"/>
                <w:sz w:val="22"/>
                <w:szCs w:val="22"/>
              </w:rPr>
            </w:pPr>
          </w:p>
        </w:tc>
      </w:tr>
      <w:tr w:rsidR="00DC1CCE" w:rsidRPr="009D0D69" w14:paraId="65D25FB1" w14:textId="77777777" w:rsidTr="5BD2FCF6">
        <w:tc>
          <w:tcPr>
            <w:tcW w:w="2977" w:type="dxa"/>
          </w:tcPr>
          <w:p w14:paraId="44274825" w14:textId="77777777" w:rsidR="004F60E3" w:rsidRPr="009D0D69" w:rsidRDefault="004F60E3" w:rsidP="585CE774">
            <w:pPr>
              <w:rPr>
                <w:rFonts w:eastAsia="Calibri"/>
                <w:sz w:val="22"/>
                <w:szCs w:val="22"/>
              </w:rPr>
            </w:pPr>
            <w:r w:rsidRPr="585CE774">
              <w:rPr>
                <w:rFonts w:eastAsia="Calibri"/>
                <w:sz w:val="22"/>
                <w:szCs w:val="22"/>
              </w:rPr>
              <w:t>TLR 2a</w:t>
            </w:r>
          </w:p>
        </w:tc>
        <w:tc>
          <w:tcPr>
            <w:tcW w:w="3119" w:type="dxa"/>
          </w:tcPr>
          <w:p w14:paraId="320786FD" w14:textId="7D9AB403" w:rsidR="004F60E3" w:rsidRPr="00964A76" w:rsidRDefault="422A0E38" w:rsidP="5BD2FCF6">
            <w:r>
              <w:t>£</w:t>
            </w:r>
            <w:r w:rsidR="394A6B23">
              <w:t>3,527</w:t>
            </w:r>
          </w:p>
        </w:tc>
      </w:tr>
      <w:tr w:rsidR="00DC1CCE" w:rsidRPr="009D0D69" w14:paraId="628FF37B" w14:textId="77777777" w:rsidTr="5BD2FCF6">
        <w:tc>
          <w:tcPr>
            <w:tcW w:w="2977" w:type="dxa"/>
          </w:tcPr>
          <w:p w14:paraId="52ADE397" w14:textId="77777777" w:rsidR="004F60E3" w:rsidRPr="009D0D69" w:rsidRDefault="004F60E3" w:rsidP="585CE774">
            <w:pPr>
              <w:rPr>
                <w:rFonts w:eastAsia="Calibri"/>
                <w:sz w:val="22"/>
                <w:szCs w:val="22"/>
              </w:rPr>
            </w:pPr>
            <w:r w:rsidRPr="585CE774">
              <w:rPr>
                <w:rFonts w:eastAsia="Calibri"/>
                <w:sz w:val="22"/>
                <w:szCs w:val="22"/>
              </w:rPr>
              <w:t>TLR 2b</w:t>
            </w:r>
          </w:p>
        </w:tc>
        <w:tc>
          <w:tcPr>
            <w:tcW w:w="3119" w:type="dxa"/>
          </w:tcPr>
          <w:p w14:paraId="7400ECF9" w14:textId="5F5E91ED" w:rsidR="004F60E3" w:rsidRPr="00964A76" w:rsidRDefault="24DD2C45" w:rsidP="5BD2FCF6">
            <w:pPr>
              <w:rPr>
                <w:rFonts w:eastAsia="Arial"/>
              </w:rPr>
            </w:pPr>
            <w:r w:rsidRPr="5BD2FCF6">
              <w:rPr>
                <w:rFonts w:eastAsia="Aptos"/>
              </w:rPr>
              <w:t>£5,</w:t>
            </w:r>
            <w:r w:rsidR="1D4E9B92" w:rsidRPr="5BD2FCF6">
              <w:rPr>
                <w:rFonts w:eastAsia="Aptos"/>
              </w:rPr>
              <w:t>872</w:t>
            </w:r>
          </w:p>
        </w:tc>
      </w:tr>
      <w:tr w:rsidR="004F60E3" w:rsidRPr="009D0D69" w14:paraId="4249A8AA" w14:textId="77777777" w:rsidTr="5BD2FCF6">
        <w:tc>
          <w:tcPr>
            <w:tcW w:w="2977" w:type="dxa"/>
          </w:tcPr>
          <w:p w14:paraId="477CAC98" w14:textId="77777777" w:rsidR="004F60E3" w:rsidRPr="009D0D69" w:rsidRDefault="004F60E3" w:rsidP="585CE774">
            <w:pPr>
              <w:rPr>
                <w:rFonts w:eastAsia="Calibri"/>
                <w:sz w:val="22"/>
                <w:szCs w:val="22"/>
              </w:rPr>
            </w:pPr>
            <w:r w:rsidRPr="585CE774">
              <w:rPr>
                <w:rFonts w:eastAsia="Calibri"/>
                <w:sz w:val="22"/>
                <w:szCs w:val="22"/>
              </w:rPr>
              <w:t>TLR 2c</w:t>
            </w:r>
          </w:p>
        </w:tc>
        <w:tc>
          <w:tcPr>
            <w:tcW w:w="3119" w:type="dxa"/>
          </w:tcPr>
          <w:p w14:paraId="14F6272D" w14:textId="55747F5A" w:rsidR="004F60E3" w:rsidRPr="00964A76" w:rsidRDefault="31876F5B" w:rsidP="5BD2FCF6">
            <w:pPr>
              <w:rPr>
                <w:rFonts w:eastAsia="Calibri"/>
                <w:sz w:val="22"/>
                <w:szCs w:val="22"/>
              </w:rPr>
            </w:pPr>
            <w:r>
              <w:t>£</w:t>
            </w:r>
            <w:r w:rsidR="239524D2">
              <w:t>8,611</w:t>
            </w:r>
          </w:p>
        </w:tc>
      </w:tr>
      <w:tr w:rsidR="6BEBBADE" w14:paraId="1A99D18F" w14:textId="77777777" w:rsidTr="5BD2FCF6">
        <w:trPr>
          <w:trHeight w:val="300"/>
        </w:trPr>
        <w:tc>
          <w:tcPr>
            <w:tcW w:w="2977" w:type="dxa"/>
          </w:tcPr>
          <w:p w14:paraId="104DF9F3" w14:textId="77197FFB" w:rsidR="6BEBBADE" w:rsidRDefault="6BEBBADE" w:rsidP="6BEBBADE">
            <w:pPr>
              <w:rPr>
                <w:rFonts w:eastAsia="Calibri"/>
                <w:sz w:val="22"/>
                <w:szCs w:val="22"/>
              </w:rPr>
            </w:pPr>
          </w:p>
        </w:tc>
        <w:tc>
          <w:tcPr>
            <w:tcW w:w="3119" w:type="dxa"/>
          </w:tcPr>
          <w:p w14:paraId="2D9A6BD0" w14:textId="181E9512" w:rsidR="6BEBBADE" w:rsidRDefault="6BEBBADE" w:rsidP="5BD2FCF6"/>
        </w:tc>
      </w:tr>
      <w:tr w:rsidR="6BEBBADE" w14:paraId="2E14661A" w14:textId="77777777" w:rsidTr="5BD2FCF6">
        <w:trPr>
          <w:trHeight w:val="300"/>
        </w:trPr>
        <w:tc>
          <w:tcPr>
            <w:tcW w:w="2977" w:type="dxa"/>
          </w:tcPr>
          <w:p w14:paraId="52E3243D" w14:textId="27096911" w:rsidR="6D82313E" w:rsidRDefault="6D82313E" w:rsidP="6BEBBADE">
            <w:pPr>
              <w:rPr>
                <w:rFonts w:eastAsia="Calibri"/>
                <w:sz w:val="22"/>
                <w:szCs w:val="22"/>
              </w:rPr>
            </w:pPr>
            <w:r w:rsidRPr="6BEBBADE">
              <w:rPr>
                <w:rFonts w:eastAsia="Calibri"/>
                <w:sz w:val="22"/>
                <w:szCs w:val="22"/>
              </w:rPr>
              <w:t>TLR 3 minimum</w:t>
            </w:r>
          </w:p>
        </w:tc>
        <w:tc>
          <w:tcPr>
            <w:tcW w:w="3119" w:type="dxa"/>
          </w:tcPr>
          <w:p w14:paraId="046E9981" w14:textId="2E85AF5F" w:rsidR="6D82313E" w:rsidRDefault="2CD60F3F" w:rsidP="5BD2FCF6">
            <w:r>
              <w:t>£702</w:t>
            </w:r>
          </w:p>
        </w:tc>
      </w:tr>
      <w:tr w:rsidR="6BEBBADE" w14:paraId="5AC4C8D9" w14:textId="77777777" w:rsidTr="5BD2FCF6">
        <w:trPr>
          <w:trHeight w:val="300"/>
        </w:trPr>
        <w:tc>
          <w:tcPr>
            <w:tcW w:w="2977" w:type="dxa"/>
          </w:tcPr>
          <w:p w14:paraId="3575F6AF" w14:textId="4A1953E3" w:rsidR="6D82313E" w:rsidRDefault="6D82313E" w:rsidP="6BEBBADE">
            <w:pPr>
              <w:rPr>
                <w:rFonts w:eastAsia="Calibri"/>
                <w:sz w:val="22"/>
                <w:szCs w:val="22"/>
              </w:rPr>
            </w:pPr>
            <w:r w:rsidRPr="6BEBBADE">
              <w:rPr>
                <w:rFonts w:eastAsia="Calibri"/>
                <w:sz w:val="22"/>
                <w:szCs w:val="22"/>
              </w:rPr>
              <w:t>TLR 3 maximum</w:t>
            </w:r>
          </w:p>
        </w:tc>
        <w:tc>
          <w:tcPr>
            <w:tcW w:w="3119" w:type="dxa"/>
          </w:tcPr>
          <w:p w14:paraId="1D7C3326" w14:textId="04562DBC" w:rsidR="6D82313E" w:rsidRDefault="2CD60F3F" w:rsidP="5BD2FCF6">
            <w:r>
              <w:t>£3,478</w:t>
            </w:r>
          </w:p>
        </w:tc>
      </w:tr>
    </w:tbl>
    <w:p w14:paraId="18D3B6D3" w14:textId="0F933E67" w:rsidR="00236AF5" w:rsidRDefault="00236AF5" w:rsidP="6BEBBADE"/>
    <w:p w14:paraId="0245E13C" w14:textId="25B1A6A2" w:rsidR="4FFB801D" w:rsidRDefault="4FFB801D" w:rsidP="4FFB801D"/>
    <w:p w14:paraId="11DCAF81" w14:textId="6C28036B" w:rsidR="4FFB801D" w:rsidRDefault="4FFB801D" w:rsidP="4FFB801D"/>
    <w:p w14:paraId="1DC2F8B4" w14:textId="3F3EA4D6" w:rsidR="4FFB801D" w:rsidRDefault="4FFB801D" w:rsidP="4FFB801D"/>
    <w:p w14:paraId="321C1DE9" w14:textId="77777777" w:rsidR="00D13A0A" w:rsidRDefault="00D13A0A" w:rsidP="4FFB801D"/>
    <w:p w14:paraId="4ECB42B1" w14:textId="77777777" w:rsidR="00D13A0A" w:rsidRDefault="00D13A0A" w:rsidP="4FFB801D"/>
    <w:p w14:paraId="7E974A3A" w14:textId="77777777" w:rsidR="00D13A0A" w:rsidRDefault="00D13A0A" w:rsidP="4FFB801D"/>
    <w:p w14:paraId="74930E3A" w14:textId="77777777" w:rsidR="00D13A0A" w:rsidRDefault="00D13A0A" w:rsidP="4FFB801D"/>
    <w:p w14:paraId="35E7F025" w14:textId="77777777" w:rsidR="00D13A0A" w:rsidRDefault="00D13A0A" w:rsidP="4FFB801D"/>
    <w:p w14:paraId="496EEF95" w14:textId="77777777" w:rsidR="00D13A0A" w:rsidRDefault="00D13A0A" w:rsidP="4FFB801D"/>
    <w:p w14:paraId="0CB2F89C" w14:textId="77777777" w:rsidR="00D13A0A" w:rsidRDefault="00D13A0A" w:rsidP="4FFB801D"/>
    <w:p w14:paraId="736F2339" w14:textId="77777777" w:rsidR="00D13A0A" w:rsidRDefault="00D13A0A" w:rsidP="4FFB801D"/>
    <w:p w14:paraId="7130B276" w14:textId="77777777" w:rsidR="00D13A0A" w:rsidRDefault="00D13A0A" w:rsidP="4FFB801D"/>
    <w:p w14:paraId="1FC7280D" w14:textId="77777777" w:rsidR="00D13A0A" w:rsidRDefault="00D13A0A" w:rsidP="4FFB801D"/>
    <w:p w14:paraId="70B4A367" w14:textId="77777777" w:rsidR="00D13A0A" w:rsidRDefault="00D13A0A" w:rsidP="4FFB801D"/>
    <w:p w14:paraId="224C4876" w14:textId="77777777" w:rsidR="00D13A0A" w:rsidRDefault="00D13A0A" w:rsidP="4FFB801D"/>
    <w:p w14:paraId="72065DBF" w14:textId="77777777" w:rsidR="00D13A0A" w:rsidRDefault="00D13A0A" w:rsidP="4FFB801D"/>
    <w:p w14:paraId="40B87AE1" w14:textId="77777777" w:rsidR="00D13A0A" w:rsidRDefault="00D13A0A" w:rsidP="4FFB801D"/>
    <w:p w14:paraId="6E12EFB6" w14:textId="77777777" w:rsidR="00D13A0A" w:rsidRDefault="00D13A0A" w:rsidP="4FFB801D"/>
    <w:p w14:paraId="27FFA67F" w14:textId="77777777" w:rsidR="00D13A0A" w:rsidRDefault="00D13A0A" w:rsidP="4FFB801D"/>
    <w:p w14:paraId="1A559CD5" w14:textId="29B78E6D" w:rsidR="4FFB801D" w:rsidRDefault="4FFB801D" w:rsidP="4FFB801D"/>
    <w:p w14:paraId="19097804" w14:textId="6D3CAD2C" w:rsidR="4FFB801D" w:rsidRDefault="4FFB801D" w:rsidP="4FFB801D"/>
    <w:p w14:paraId="1A7D47D5" w14:textId="0FE326BD" w:rsidR="4FFB801D" w:rsidRDefault="4FFB801D" w:rsidP="4FFB801D"/>
    <w:p w14:paraId="236F7781" w14:textId="56119C08" w:rsidR="4FFB801D" w:rsidRDefault="4FFB801D" w:rsidP="4FFB801D"/>
    <w:p w14:paraId="01CED33E" w14:textId="768AACB7" w:rsidR="006227DF" w:rsidRDefault="006227DF" w:rsidP="005E496D">
      <w:pPr>
        <w:ind w:left="1440"/>
        <w:rPr>
          <w:szCs w:val="24"/>
        </w:rPr>
      </w:pPr>
    </w:p>
    <w:p w14:paraId="4DF131C8" w14:textId="634C1669" w:rsidR="006227DF" w:rsidRPr="006227DF" w:rsidRDefault="006227DF" w:rsidP="006227DF">
      <w:pPr>
        <w:ind w:left="1440"/>
        <w:jc w:val="right"/>
        <w:rPr>
          <w:b/>
          <w:bCs/>
          <w:szCs w:val="24"/>
        </w:rPr>
      </w:pPr>
      <w:bookmarkStart w:id="54" w:name="Appendix3"/>
      <w:r w:rsidRPr="006227DF">
        <w:rPr>
          <w:b/>
          <w:bCs/>
          <w:szCs w:val="24"/>
        </w:rPr>
        <w:lastRenderedPageBreak/>
        <w:t xml:space="preserve">Appendix </w:t>
      </w:r>
      <w:r w:rsidR="00487F8B">
        <w:rPr>
          <w:b/>
          <w:bCs/>
          <w:szCs w:val="24"/>
        </w:rPr>
        <w:t>4</w:t>
      </w:r>
    </w:p>
    <w:p w14:paraId="3E65779D" w14:textId="02566DBB" w:rsidR="006227DF" w:rsidRPr="006227DF" w:rsidRDefault="006227DF" w:rsidP="006227DF">
      <w:pPr>
        <w:rPr>
          <w:b/>
          <w:bCs/>
          <w:sz w:val="36"/>
          <w:szCs w:val="36"/>
        </w:rPr>
      </w:pPr>
      <w:bookmarkStart w:id="55" w:name="App4"/>
      <w:bookmarkEnd w:id="54"/>
      <w:r w:rsidRPr="006227DF">
        <w:rPr>
          <w:b/>
          <w:bCs/>
          <w:sz w:val="36"/>
          <w:szCs w:val="36"/>
        </w:rPr>
        <w:t xml:space="preserve">Summary of Changes </w:t>
      </w:r>
    </w:p>
    <w:bookmarkEnd w:id="55"/>
    <w:p w14:paraId="3FD85585" w14:textId="77777777" w:rsidR="006227DF" w:rsidRDefault="006227DF" w:rsidP="006227DF">
      <w:pPr>
        <w:rPr>
          <w:szCs w:val="24"/>
          <w:lang w:val="en-US"/>
        </w:rPr>
      </w:pPr>
    </w:p>
    <w:p w14:paraId="16B4704B" w14:textId="3E51E1EB" w:rsidR="006227DF" w:rsidRDefault="54F1CAAC" w:rsidP="74AE8F71">
      <w:r>
        <w:t>The significant changes which have been made to the September 202</w:t>
      </w:r>
      <w:r w:rsidR="424066CB">
        <w:t>5</w:t>
      </w:r>
      <w:r>
        <w:t xml:space="preserve"> policy are</w:t>
      </w:r>
      <w:r w:rsidR="4CD1EC7E">
        <w:t xml:space="preserve"> set out </w:t>
      </w:r>
      <w:proofErr w:type="gramStart"/>
      <w:r w:rsidR="4CD1EC7E">
        <w:t>below</w:t>
      </w:r>
      <w:r>
        <w:t>;</w:t>
      </w:r>
      <w:proofErr w:type="gramEnd"/>
    </w:p>
    <w:p w14:paraId="4F30A783" w14:textId="4B388570" w:rsidR="008C4C08" w:rsidRDefault="008C4C08" w:rsidP="591F2B96"/>
    <w:p w14:paraId="7A1D1675" w14:textId="05A075DD" w:rsidR="008C4C08" w:rsidRPr="00EE6F09" w:rsidRDefault="008C4C08" w:rsidP="15D4F644">
      <w:pPr>
        <w:rPr>
          <w:b/>
          <w:bCs/>
        </w:rPr>
      </w:pPr>
      <w:r w:rsidRPr="6BEBBADE">
        <w:rPr>
          <w:b/>
          <w:bCs/>
        </w:rPr>
        <w:t xml:space="preserve">Part 1 </w:t>
      </w:r>
      <w:r w:rsidR="008C3A25" w:rsidRPr="6BEBBADE">
        <w:rPr>
          <w:b/>
          <w:bCs/>
        </w:rPr>
        <w:t>–</w:t>
      </w:r>
      <w:r w:rsidRPr="6BEBBADE">
        <w:rPr>
          <w:b/>
          <w:bCs/>
        </w:rPr>
        <w:t xml:space="preserve"> </w:t>
      </w:r>
      <w:r w:rsidR="008C3A25" w:rsidRPr="6BEBBADE">
        <w:rPr>
          <w:b/>
          <w:bCs/>
        </w:rPr>
        <w:t>Pay 202</w:t>
      </w:r>
      <w:r w:rsidR="3B0B68AF" w:rsidRPr="6BEBBADE">
        <w:rPr>
          <w:b/>
          <w:bCs/>
        </w:rPr>
        <w:t>5</w:t>
      </w:r>
      <w:r w:rsidR="008C3A25" w:rsidRPr="6BEBBADE">
        <w:rPr>
          <w:b/>
          <w:bCs/>
        </w:rPr>
        <w:t>/2</w:t>
      </w:r>
      <w:r w:rsidR="7F425123" w:rsidRPr="6BEBBADE">
        <w:rPr>
          <w:b/>
          <w:bCs/>
        </w:rPr>
        <w:t>6</w:t>
      </w:r>
    </w:p>
    <w:p w14:paraId="30468397" w14:textId="2513FB6C" w:rsidR="005649C7" w:rsidRDefault="00412659" w:rsidP="00412659">
      <w:pPr>
        <w:ind w:left="1440" w:hanging="1440"/>
      </w:pPr>
      <w:r>
        <w:t>.</w:t>
      </w:r>
    </w:p>
    <w:p w14:paraId="63C31321" w14:textId="6B790F3D" w:rsidR="01022D84" w:rsidRDefault="01022D84">
      <w:r>
        <w:t>Section 4</w:t>
      </w:r>
      <w:r>
        <w:tab/>
        <w:t xml:space="preserve">Removed paragraphs referencing pay progression prior to September </w:t>
      </w:r>
      <w:r>
        <w:tab/>
      </w:r>
      <w:r>
        <w:tab/>
        <w:t>2025.</w:t>
      </w:r>
    </w:p>
    <w:p w14:paraId="3E709CE2" w14:textId="23F43CF9" w:rsidR="00164CCF" w:rsidRDefault="650037DE" w:rsidP="74AE8F71">
      <w:r>
        <w:t>Section</w:t>
      </w:r>
      <w:r w:rsidR="243E511F">
        <w:t xml:space="preserve"> </w:t>
      </w:r>
      <w:r>
        <w:t>5</w:t>
      </w:r>
      <w:r w:rsidR="008C3A25">
        <w:tab/>
      </w:r>
      <w:r w:rsidR="18EA43A9">
        <w:t>4</w:t>
      </w:r>
      <w:r w:rsidR="243E511F">
        <w:t>% increase on all pay points and allowances</w:t>
      </w:r>
      <w:r w:rsidR="03657163">
        <w:t>.</w:t>
      </w:r>
    </w:p>
    <w:p w14:paraId="2177B7C6" w14:textId="31863EAC" w:rsidR="341C723B" w:rsidRDefault="341C723B" w:rsidP="68F17569">
      <w:pPr>
        <w:ind w:left="1440" w:hanging="1440"/>
      </w:pPr>
      <w:r>
        <w:t>Section 7.5</w:t>
      </w:r>
      <w:r>
        <w:tab/>
        <w:t>Add</w:t>
      </w:r>
      <w:r w:rsidR="784F1223">
        <w:t>ed</w:t>
      </w:r>
      <w:r>
        <w:t xml:space="preserve"> clarification on when someone would </w:t>
      </w:r>
      <w:proofErr w:type="gramStart"/>
      <w:r>
        <w:t>be considered to be</w:t>
      </w:r>
      <w:proofErr w:type="gramEnd"/>
      <w:r>
        <w:t xml:space="preserve"> in</w:t>
      </w:r>
      <w:r w:rsidR="2278BCF4">
        <w:t xml:space="preserve"> </w:t>
      </w:r>
      <w:r>
        <w:tab/>
        <w:t>capability and so not elig</w:t>
      </w:r>
      <w:r w:rsidR="00B43808">
        <w:t>i</w:t>
      </w:r>
      <w:r>
        <w:t>ble for pa</w:t>
      </w:r>
      <w:r w:rsidR="09EE1A43">
        <w:t>y</w:t>
      </w:r>
      <w:r>
        <w:t xml:space="preserve"> progression.</w:t>
      </w:r>
      <w:r w:rsidR="57F612A5">
        <w:t xml:space="preserve"> Also included information on when someone who comes out of capability would be eligible </w:t>
      </w:r>
      <w:r w:rsidR="17E5F6B3">
        <w:t>for pay progression.</w:t>
      </w:r>
    </w:p>
    <w:p w14:paraId="0297767A" w14:textId="4F99DAE3" w:rsidR="76032DAD" w:rsidRDefault="76032DAD">
      <w:r>
        <w:t>Section 7.8</w:t>
      </w:r>
      <w:r>
        <w:tab/>
        <w:t xml:space="preserve">Added a definition of </w:t>
      </w:r>
      <w:r w:rsidR="44912175">
        <w:t>exceptional performance</w:t>
      </w:r>
      <w:r w:rsidR="4CBDE6DE">
        <w:t>.</w:t>
      </w:r>
    </w:p>
    <w:p w14:paraId="5928DF70" w14:textId="0391359F" w:rsidR="44912175" w:rsidRDefault="44912175" w:rsidP="68F17569">
      <w:pPr>
        <w:ind w:left="1440" w:hanging="1440"/>
      </w:pPr>
      <w:r>
        <w:t>Section 7.9</w:t>
      </w:r>
      <w:r>
        <w:tab/>
        <w:t xml:space="preserve">Added clarification that Upper Pay Range teachers still have </w:t>
      </w:r>
      <w:r>
        <w:tab/>
      </w:r>
      <w:r>
        <w:tab/>
        <w:t>perfor</w:t>
      </w:r>
      <w:r w:rsidR="2BB9C0DE">
        <w:t>mance reviewed annually but pay progression is two yearly.</w:t>
      </w:r>
      <w:r w:rsidR="5C82B285">
        <w:t xml:space="preserve"> Included clarification that a UPS review can consider </w:t>
      </w:r>
      <w:r w:rsidR="4BDE47BB">
        <w:t xml:space="preserve">progression bases on </w:t>
      </w:r>
      <w:r w:rsidR="5C82B285">
        <w:t>exceptional performance</w:t>
      </w:r>
      <w:r w:rsidR="14EC4BDB">
        <w:t xml:space="preserve"> at the point they become eligible.</w:t>
      </w:r>
      <w:r w:rsidR="5C82B285">
        <w:t xml:space="preserve"> </w:t>
      </w:r>
    </w:p>
    <w:p w14:paraId="1CCD54BC" w14:textId="386579B7" w:rsidR="00A26055" w:rsidRDefault="75ACD84A" w:rsidP="00A26055">
      <w:r>
        <w:t>Section 10.5</w:t>
      </w:r>
      <w:r w:rsidR="003545E8">
        <w:tab/>
      </w:r>
      <w:r>
        <w:t>New pay ranges added</w:t>
      </w:r>
      <w:r w:rsidR="4259FA97">
        <w:t>.</w:t>
      </w:r>
    </w:p>
    <w:p w14:paraId="3F43E250" w14:textId="4309755E" w:rsidR="4259FA97" w:rsidRDefault="4259FA97">
      <w:r>
        <w:t>Section 13.9</w:t>
      </w:r>
      <w:r>
        <w:tab/>
        <w:t>Added in reference to progression in the upper pay range section.</w:t>
      </w:r>
    </w:p>
    <w:p w14:paraId="58E5AE4C" w14:textId="3F58C16D" w:rsidR="003545E8" w:rsidRDefault="75ACD84A" w:rsidP="003545E8">
      <w:pPr>
        <w:ind w:left="1440" w:hanging="1440"/>
      </w:pPr>
      <w:r>
        <w:t>Section 14</w:t>
      </w:r>
      <w:r w:rsidR="003545E8">
        <w:tab/>
      </w:r>
      <w:r w:rsidR="1250716A">
        <w:t>Removed reference to performance related pay</w:t>
      </w:r>
      <w:r w:rsidR="07E47900">
        <w:t xml:space="preserve"> for leading practitioners</w:t>
      </w:r>
      <w:r w:rsidR="1250716A">
        <w:t>.</w:t>
      </w:r>
    </w:p>
    <w:p w14:paraId="2F1E08A1" w14:textId="4B9E87DD" w:rsidR="00D96A0A" w:rsidRPr="001078C0" w:rsidRDefault="7CE2B097" w:rsidP="001078C0">
      <w:pPr>
        <w:ind w:left="1440" w:hanging="1440"/>
      </w:pPr>
      <w:r>
        <w:t>Section 16</w:t>
      </w:r>
      <w:r w:rsidR="000F202C">
        <w:tab/>
      </w:r>
      <w:r w:rsidR="3F4E43D0">
        <w:t>Removed reference to ECT not getting progression if performance is not satisfactory. ECT’s will not get pay progression if they are subject to capability procedures in line with all other teachers (except UPR).</w:t>
      </w:r>
    </w:p>
    <w:p w14:paraId="37826E12" w14:textId="1ADD70AE" w:rsidR="0036018C" w:rsidRDefault="0036018C" w:rsidP="591F2B96"/>
    <w:p w14:paraId="2EE00F2A" w14:textId="01F6E131" w:rsidR="0036018C" w:rsidRPr="00EE6F09" w:rsidRDefault="0036018C" w:rsidP="0036018C">
      <w:pPr>
        <w:ind w:left="1440" w:hanging="1440"/>
        <w:rPr>
          <w:b/>
          <w:bCs/>
          <w:szCs w:val="24"/>
        </w:rPr>
      </w:pPr>
      <w:r w:rsidRPr="00EE6F09">
        <w:rPr>
          <w:b/>
          <w:bCs/>
          <w:szCs w:val="24"/>
        </w:rPr>
        <w:t>Part 2 – Other payments and allowances</w:t>
      </w:r>
    </w:p>
    <w:p w14:paraId="1AB5894C" w14:textId="77777777" w:rsidR="0036018C" w:rsidRDefault="0036018C" w:rsidP="0036018C">
      <w:pPr>
        <w:ind w:left="1440" w:hanging="1440"/>
        <w:rPr>
          <w:szCs w:val="24"/>
        </w:rPr>
      </w:pPr>
    </w:p>
    <w:p w14:paraId="757DAFFB" w14:textId="5736EBAD" w:rsidR="00B17CC3" w:rsidRDefault="7D8B5375" w:rsidP="001078C0">
      <w:pPr>
        <w:ind w:left="1440" w:hanging="1440"/>
      </w:pPr>
      <w:r>
        <w:t>Section 17</w:t>
      </w:r>
      <w:r>
        <w:tab/>
      </w:r>
      <w:r w:rsidR="2E8AC6B6">
        <w:t>Updated figures</w:t>
      </w:r>
      <w:r w:rsidR="364D8474">
        <w:t xml:space="preserve"> and included updated information relating to</w:t>
      </w:r>
      <w:r w:rsidR="3E15EFB1">
        <w:t xml:space="preserve"> </w:t>
      </w:r>
      <w:proofErr w:type="spellStart"/>
      <w:r w:rsidR="3E15EFB1">
        <w:t>there</w:t>
      </w:r>
      <w:proofErr w:type="spellEnd"/>
      <w:r w:rsidR="3E15EFB1">
        <w:t xml:space="preserve"> no longer being a requirement to apply the pro rata principle to TLR 1 and 2 for part time teachers if they are undertaking the full responsibilities of a TLR. Also included that it is possible to pay a </w:t>
      </w:r>
      <w:proofErr w:type="gramStart"/>
      <w:r w:rsidR="3E15EFB1">
        <w:t>full time</w:t>
      </w:r>
      <w:proofErr w:type="gramEnd"/>
      <w:r w:rsidR="3E15EFB1">
        <w:t xml:space="preserve"> teacher a part time TLR if they are sharing the respon</w:t>
      </w:r>
      <w:r w:rsidR="0B0264C8">
        <w:t xml:space="preserve">sibility with another teacher. </w:t>
      </w:r>
      <w:r w:rsidR="541794FF">
        <w:t>Added information stating that consideration should be given</w:t>
      </w:r>
      <w:r w:rsidR="24C2A3A4">
        <w:t xml:space="preserve"> on whether</w:t>
      </w:r>
      <w:r w:rsidR="541794FF">
        <w:t xml:space="preserve"> </w:t>
      </w:r>
      <w:r w:rsidR="2505D13C">
        <w:t xml:space="preserve">it is possible to </w:t>
      </w:r>
      <w:r w:rsidR="541794FF">
        <w:t>re</w:t>
      </w:r>
      <w:r w:rsidR="734B104D">
        <w:t>a</w:t>
      </w:r>
      <w:r w:rsidR="541794FF">
        <w:t>llocate TLR duties if a teacher requests to relinquish a TLR.</w:t>
      </w:r>
    </w:p>
    <w:p w14:paraId="12E05A67" w14:textId="6CE2C28C" w:rsidR="00B17CC3" w:rsidRDefault="3AC311DE" w:rsidP="591F2B96">
      <w:pPr>
        <w:ind w:left="1440" w:hanging="1440"/>
      </w:pPr>
      <w:r>
        <w:t>Section 18</w:t>
      </w:r>
      <w:r w:rsidR="00B17CC3">
        <w:tab/>
      </w:r>
      <w:r w:rsidR="2E8AC6B6">
        <w:t>Updated figures</w:t>
      </w:r>
    </w:p>
    <w:p w14:paraId="6C39C9C5" w14:textId="580118C8" w:rsidR="4B77E012" w:rsidRDefault="4B77E012" w:rsidP="2CC2650C">
      <w:pPr>
        <w:ind w:left="1440" w:hanging="1440"/>
      </w:pPr>
      <w:r>
        <w:t>Section 18.3</w:t>
      </w:r>
      <w:r>
        <w:tab/>
        <w:t>Added more clarity on justification for the specific point.</w:t>
      </w:r>
    </w:p>
    <w:p w14:paraId="636793DF" w14:textId="619DB8E9" w:rsidR="70D878D6" w:rsidRDefault="70D878D6" w:rsidP="4FFB801D">
      <w:pPr>
        <w:ind w:left="1440" w:hanging="1440"/>
      </w:pPr>
      <w:r>
        <w:t>Section 25</w:t>
      </w:r>
      <w:r>
        <w:tab/>
        <w:t>Amended to reflect it is no longer mandatory to pro rata TLR payments for part time teachers.</w:t>
      </w:r>
    </w:p>
    <w:p w14:paraId="2682A546" w14:textId="77777777" w:rsidR="00164CCF" w:rsidRDefault="00164CCF" w:rsidP="001078C0">
      <w:pPr>
        <w:rPr>
          <w:szCs w:val="24"/>
        </w:rPr>
      </w:pPr>
    </w:p>
    <w:p w14:paraId="60ABD1EB" w14:textId="31B93E53" w:rsidR="003F111F" w:rsidRPr="003F111F" w:rsidRDefault="003F111F" w:rsidP="00541D41">
      <w:pPr>
        <w:ind w:left="1440" w:hanging="1440"/>
        <w:rPr>
          <w:b/>
          <w:bCs/>
          <w:szCs w:val="24"/>
        </w:rPr>
      </w:pPr>
      <w:r w:rsidRPr="003F111F">
        <w:rPr>
          <w:b/>
          <w:bCs/>
          <w:szCs w:val="24"/>
        </w:rPr>
        <w:t>Appendices</w:t>
      </w:r>
    </w:p>
    <w:p w14:paraId="7C2D30A2" w14:textId="77777777" w:rsidR="00DA03E4" w:rsidRDefault="00DA03E4" w:rsidP="00DA03E4"/>
    <w:p w14:paraId="3807A6FE" w14:textId="2B921A6C" w:rsidR="0248A445" w:rsidRDefault="0248A445">
      <w:r>
        <w:t>Appendix 1</w:t>
      </w:r>
      <w:r>
        <w:tab/>
        <w:t>Updated appeal procedure in line with other procedures</w:t>
      </w:r>
    </w:p>
    <w:p w14:paraId="61C49E60" w14:textId="70393E91" w:rsidR="00EE6F09" w:rsidRPr="00082177" w:rsidRDefault="003F111F" w:rsidP="591F2B96">
      <w:pPr>
        <w:ind w:left="1440" w:hanging="1440"/>
      </w:pPr>
      <w:r>
        <w:t>Appendix 4</w:t>
      </w:r>
      <w:r w:rsidR="00EE6F09">
        <w:tab/>
      </w:r>
      <w:r>
        <w:t>Updated</w:t>
      </w:r>
      <w:r w:rsidR="00164CCF">
        <w:t xml:space="preserve"> all</w:t>
      </w:r>
      <w:r>
        <w:t xml:space="preserve"> pay ranges </w:t>
      </w:r>
    </w:p>
    <w:sectPr w:rsidR="00EE6F09" w:rsidRPr="00082177" w:rsidSect="00733FC0">
      <w:headerReference w:type="default" r:id="rId15"/>
      <w:footerReference w:type="default" r:id="rId16"/>
      <w:footerReference w:type="first" r:id="rId17"/>
      <w:pgSz w:w="11907" w:h="16840" w:code="9"/>
      <w:pgMar w:top="1258" w:right="1440" w:bottom="1440" w:left="1440" w:header="720" w:footer="720" w:gutter="0"/>
      <w:paperSrc w:first="7" w:other="7"/>
      <w:pgBorders w:display="firstPage" w:offsetFrom="page">
        <w:top w:val="single" w:sz="48" w:space="24" w:color="EC82C1"/>
        <w:left w:val="single" w:sz="48" w:space="24" w:color="EC82C1"/>
        <w:bottom w:val="single" w:sz="48" w:space="24" w:color="EC82C1"/>
        <w:right w:val="single" w:sz="48" w:space="24" w:color="EC82C1"/>
      </w:pgBorders>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E756F" w14:textId="77777777" w:rsidR="00906684" w:rsidRDefault="00906684">
      <w:r>
        <w:separator/>
      </w:r>
    </w:p>
  </w:endnote>
  <w:endnote w:type="continuationSeparator" w:id="0">
    <w:p w14:paraId="1BE3CDE5" w14:textId="77777777" w:rsidR="00906684" w:rsidRDefault="00906684">
      <w:r>
        <w:continuationSeparator/>
      </w:r>
    </w:p>
  </w:endnote>
  <w:endnote w:type="continuationNotice" w:id="1">
    <w:p w14:paraId="7E132EC3" w14:textId="77777777" w:rsidR="00906684" w:rsidRDefault="009066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el">
    <w:altName w:val="Cambria"/>
    <w:panose1 w:val="00000000000000000000"/>
    <w:charset w:val="00"/>
    <w:family w:val="roman"/>
    <w:notTrueType/>
    <w:pitch w:val="default"/>
  </w:font>
  <w:font w:name="Raleway">
    <w:charset w:val="00"/>
    <w:family w:val="auto"/>
    <w:pitch w:val="variable"/>
    <w:sig w:usb0="A00002FF" w:usb1="5000205B" w:usb2="00000000" w:usb3="00000000" w:csb0="00000197"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C88F" w14:textId="77777777" w:rsidR="00F4127C" w:rsidRPr="00B217EB" w:rsidRDefault="00F4127C" w:rsidP="00DE5BB6">
    <w:pPr>
      <w:pStyle w:val="Footer"/>
      <w:rPr>
        <w:sz w:val="20"/>
      </w:rPr>
    </w:pPr>
    <w:r>
      <w:rPr>
        <w:sz w:val="20"/>
      </w:rPr>
      <w:t>Together for Children:</w:t>
    </w:r>
  </w:p>
  <w:p w14:paraId="7D89E54B" w14:textId="17785C81" w:rsidR="00F4127C" w:rsidRPr="00320987" w:rsidRDefault="7615291D" w:rsidP="7615291D">
    <w:pPr>
      <w:tabs>
        <w:tab w:val="center" w:pos="4153"/>
        <w:tab w:val="right" w:pos="8306"/>
      </w:tabs>
      <w:rPr>
        <w:sz w:val="20"/>
        <w:lang w:eastAsia="en-GB"/>
      </w:rPr>
    </w:pPr>
    <w:r w:rsidRPr="7615291D">
      <w:rPr>
        <w:sz w:val="20"/>
        <w:lang w:eastAsia="en-GB"/>
      </w:rPr>
      <w:t xml:space="preserve">Pay Policy for Teachers </w:t>
    </w:r>
    <w:r w:rsidR="00F4127C">
      <w:tab/>
    </w:r>
    <w:r w:rsidRPr="7615291D">
      <w:rPr>
        <w:sz w:val="20"/>
        <w:lang w:eastAsia="en-GB"/>
      </w:rPr>
      <w:t xml:space="preserve">Page </w:t>
    </w:r>
    <w:r w:rsidR="00F4127C" w:rsidRPr="7615291D">
      <w:rPr>
        <w:noProof/>
        <w:sz w:val="20"/>
        <w:lang w:eastAsia="en-GB"/>
      </w:rPr>
      <w:fldChar w:fldCharType="begin"/>
    </w:r>
    <w:r w:rsidR="00F4127C" w:rsidRPr="7615291D">
      <w:rPr>
        <w:sz w:val="20"/>
        <w:lang w:eastAsia="en-GB"/>
      </w:rPr>
      <w:instrText xml:space="preserve"> PAGE </w:instrText>
    </w:r>
    <w:r w:rsidR="00F4127C" w:rsidRPr="7615291D">
      <w:rPr>
        <w:sz w:val="20"/>
        <w:lang w:eastAsia="en-GB"/>
      </w:rPr>
      <w:fldChar w:fldCharType="separate"/>
    </w:r>
    <w:r w:rsidRPr="7615291D">
      <w:rPr>
        <w:noProof/>
        <w:sz w:val="20"/>
        <w:lang w:eastAsia="en-GB"/>
      </w:rPr>
      <w:t>20</w:t>
    </w:r>
    <w:r w:rsidR="00F4127C" w:rsidRPr="7615291D">
      <w:rPr>
        <w:noProof/>
        <w:sz w:val="20"/>
        <w:lang w:eastAsia="en-GB"/>
      </w:rPr>
      <w:fldChar w:fldCharType="end"/>
    </w:r>
    <w:r w:rsidRPr="7615291D">
      <w:rPr>
        <w:sz w:val="20"/>
        <w:lang w:eastAsia="en-GB"/>
      </w:rPr>
      <w:t xml:space="preserve"> of </w:t>
    </w:r>
    <w:r w:rsidR="00F4127C" w:rsidRPr="7615291D">
      <w:rPr>
        <w:noProof/>
        <w:sz w:val="20"/>
        <w:lang w:eastAsia="en-GB"/>
      </w:rPr>
      <w:fldChar w:fldCharType="begin"/>
    </w:r>
    <w:r w:rsidR="00F4127C" w:rsidRPr="7615291D">
      <w:rPr>
        <w:sz w:val="20"/>
        <w:lang w:eastAsia="en-GB"/>
      </w:rPr>
      <w:instrText xml:space="preserve"> NUMPAGES  </w:instrText>
    </w:r>
    <w:r w:rsidR="00F4127C" w:rsidRPr="7615291D">
      <w:rPr>
        <w:sz w:val="20"/>
        <w:lang w:eastAsia="en-GB"/>
      </w:rPr>
      <w:fldChar w:fldCharType="separate"/>
    </w:r>
    <w:r w:rsidRPr="7615291D">
      <w:rPr>
        <w:noProof/>
        <w:sz w:val="20"/>
        <w:lang w:eastAsia="en-GB"/>
      </w:rPr>
      <w:t>20</w:t>
    </w:r>
    <w:r w:rsidR="00F4127C" w:rsidRPr="7615291D">
      <w:rPr>
        <w:noProof/>
        <w:sz w:val="20"/>
        <w:lang w:eastAsia="en-GB"/>
      </w:rPr>
      <w:fldChar w:fldCharType="end"/>
    </w:r>
    <w:r w:rsidR="00F4127C">
      <w:tab/>
    </w:r>
    <w:r w:rsidRPr="7615291D">
      <w:rPr>
        <w:sz w:val="20"/>
        <w:lang w:eastAsia="en-GB"/>
      </w:rPr>
      <w:t>September 2025</w:t>
    </w:r>
  </w:p>
  <w:p w14:paraId="2E2E7C29" w14:textId="77777777" w:rsidR="00F4127C" w:rsidRPr="00BA5F1A" w:rsidRDefault="00F4127C" w:rsidP="00BA5F1A">
    <w:pPr>
      <w:tabs>
        <w:tab w:val="center" w:pos="4153"/>
        <w:tab w:val="right" w:pos="8306"/>
      </w:tabs>
      <w:rPr>
        <w:sz w:val="20"/>
        <w:lang w:eastAsia="en-GB"/>
      </w:rPr>
    </w:pPr>
  </w:p>
  <w:p w14:paraId="485E0BEF" w14:textId="77777777" w:rsidR="00F4127C" w:rsidRPr="00DE5BB6" w:rsidRDefault="00F4127C" w:rsidP="00BA5F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264BC" w14:textId="77777777" w:rsidR="00F4127C" w:rsidRPr="00BA5F1A" w:rsidRDefault="00F4127C" w:rsidP="00171021">
    <w:pPr>
      <w:tabs>
        <w:tab w:val="center" w:pos="4153"/>
        <w:tab w:val="right" w:pos="8306"/>
      </w:tabs>
      <w:rPr>
        <w:sz w:val="20"/>
        <w:lang w:eastAsia="en-GB"/>
      </w:rPr>
    </w:pPr>
  </w:p>
  <w:p w14:paraId="161F5485" w14:textId="77777777" w:rsidR="00F4127C" w:rsidRDefault="00F4127C" w:rsidP="00171021">
    <w:pPr>
      <w:pStyle w:val="Footer"/>
      <w:tabs>
        <w:tab w:val="clear" w:pos="4320"/>
        <w:tab w:val="clear" w:pos="8640"/>
        <w:tab w:val="left" w:pos="37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08D509" w14:textId="77777777" w:rsidR="00906684" w:rsidRDefault="00906684">
      <w:r>
        <w:separator/>
      </w:r>
    </w:p>
  </w:footnote>
  <w:footnote w:type="continuationSeparator" w:id="0">
    <w:p w14:paraId="0DD9F770" w14:textId="77777777" w:rsidR="00906684" w:rsidRDefault="00906684">
      <w:r>
        <w:continuationSeparator/>
      </w:r>
    </w:p>
  </w:footnote>
  <w:footnote w:type="continuationNotice" w:id="1">
    <w:p w14:paraId="6CABB587" w14:textId="77777777" w:rsidR="00906684" w:rsidRDefault="009066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BD3A5" w14:textId="0F671CD4" w:rsidR="00F4127C" w:rsidRPr="00F07621" w:rsidRDefault="00487F8B" w:rsidP="00A80336">
    <w:pPr>
      <w:pStyle w:val="Header"/>
      <w:rPr>
        <w:b/>
      </w:rPr>
    </w:pPr>
    <w:r w:rsidRPr="00487F8B">
      <w:rPr>
        <w:b/>
      </w:rPr>
      <w:ptab w:relativeTo="margin" w:alignment="right" w:leader="none"/>
    </w:r>
  </w:p>
</w:hdr>
</file>

<file path=word/intelligence2.xml><?xml version="1.0" encoding="utf-8"?>
<int2:intelligence xmlns:int2="http://schemas.microsoft.com/office/intelligence/2020/intelligence" xmlns:oel="http://schemas.microsoft.com/office/2019/extlst">
  <int2:observations>
    <int2:bookmark int2:bookmarkName="_Int_oIO6OSdV" int2:invalidationBookmarkName="" int2:hashCode="/r5jw99K4rIhau" int2:id="sN7BeG2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C7975"/>
    <w:multiLevelType w:val="hybridMultilevel"/>
    <w:tmpl w:val="96E2C6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CCD584A"/>
    <w:multiLevelType w:val="multilevel"/>
    <w:tmpl w:val="01CC5620"/>
    <w:styleLink w:val="ImportedStyle2"/>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567" w:hanging="567"/>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578" w:hanging="57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578" w:hanging="57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578" w:hanging="578"/>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578" w:hanging="5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578" w:hanging="578"/>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578" w:hanging="578"/>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578" w:hanging="578"/>
      </w:pPr>
      <w:rPr>
        <w:rFonts w:hAnsi="Arial Unicode MS"/>
        <w:caps w:val="0"/>
        <w:smallCaps w:val="0"/>
        <w:strike w:val="0"/>
        <w:dstrike w:val="0"/>
        <w:color w:val="000000"/>
        <w:spacing w:val="0"/>
        <w:w w:val="100"/>
        <w:kern w:val="0"/>
        <w:position w:val="0"/>
        <w:highlight w:val="none"/>
        <w:vertAlign w:val="baseline"/>
      </w:rPr>
    </w:lvl>
  </w:abstractNum>
  <w:abstractNum w:abstractNumId="2" w15:restartNumberingAfterBreak="0">
    <w:nsid w:val="1104743C"/>
    <w:multiLevelType w:val="hybridMultilevel"/>
    <w:tmpl w:val="DA56D4C2"/>
    <w:lvl w:ilvl="0" w:tplc="08090001">
      <w:start w:val="1"/>
      <w:numFmt w:val="bullet"/>
      <w:lvlText w:val=""/>
      <w:lvlJc w:val="left"/>
      <w:pPr>
        <w:ind w:left="1445" w:hanging="360"/>
      </w:pPr>
      <w:rPr>
        <w:rFonts w:ascii="Symbol" w:hAnsi="Symbol" w:hint="default"/>
      </w:rPr>
    </w:lvl>
    <w:lvl w:ilvl="1" w:tplc="08090003" w:tentative="1">
      <w:start w:val="1"/>
      <w:numFmt w:val="bullet"/>
      <w:lvlText w:val="o"/>
      <w:lvlJc w:val="left"/>
      <w:pPr>
        <w:ind w:left="2165" w:hanging="360"/>
      </w:pPr>
      <w:rPr>
        <w:rFonts w:ascii="Courier New" w:hAnsi="Courier New" w:cs="Courier New" w:hint="default"/>
      </w:rPr>
    </w:lvl>
    <w:lvl w:ilvl="2" w:tplc="08090005" w:tentative="1">
      <w:start w:val="1"/>
      <w:numFmt w:val="bullet"/>
      <w:lvlText w:val=""/>
      <w:lvlJc w:val="left"/>
      <w:pPr>
        <w:ind w:left="2885" w:hanging="360"/>
      </w:pPr>
      <w:rPr>
        <w:rFonts w:ascii="Wingdings" w:hAnsi="Wingdings" w:hint="default"/>
      </w:rPr>
    </w:lvl>
    <w:lvl w:ilvl="3" w:tplc="08090001" w:tentative="1">
      <w:start w:val="1"/>
      <w:numFmt w:val="bullet"/>
      <w:lvlText w:val=""/>
      <w:lvlJc w:val="left"/>
      <w:pPr>
        <w:ind w:left="3605" w:hanging="360"/>
      </w:pPr>
      <w:rPr>
        <w:rFonts w:ascii="Symbol" w:hAnsi="Symbol" w:hint="default"/>
      </w:rPr>
    </w:lvl>
    <w:lvl w:ilvl="4" w:tplc="08090003" w:tentative="1">
      <w:start w:val="1"/>
      <w:numFmt w:val="bullet"/>
      <w:lvlText w:val="o"/>
      <w:lvlJc w:val="left"/>
      <w:pPr>
        <w:ind w:left="4325" w:hanging="360"/>
      </w:pPr>
      <w:rPr>
        <w:rFonts w:ascii="Courier New" w:hAnsi="Courier New" w:cs="Courier New" w:hint="default"/>
      </w:rPr>
    </w:lvl>
    <w:lvl w:ilvl="5" w:tplc="08090005" w:tentative="1">
      <w:start w:val="1"/>
      <w:numFmt w:val="bullet"/>
      <w:lvlText w:val=""/>
      <w:lvlJc w:val="left"/>
      <w:pPr>
        <w:ind w:left="5045" w:hanging="360"/>
      </w:pPr>
      <w:rPr>
        <w:rFonts w:ascii="Wingdings" w:hAnsi="Wingdings" w:hint="default"/>
      </w:rPr>
    </w:lvl>
    <w:lvl w:ilvl="6" w:tplc="08090001" w:tentative="1">
      <w:start w:val="1"/>
      <w:numFmt w:val="bullet"/>
      <w:lvlText w:val=""/>
      <w:lvlJc w:val="left"/>
      <w:pPr>
        <w:ind w:left="5765" w:hanging="360"/>
      </w:pPr>
      <w:rPr>
        <w:rFonts w:ascii="Symbol" w:hAnsi="Symbol" w:hint="default"/>
      </w:rPr>
    </w:lvl>
    <w:lvl w:ilvl="7" w:tplc="08090003" w:tentative="1">
      <w:start w:val="1"/>
      <w:numFmt w:val="bullet"/>
      <w:lvlText w:val="o"/>
      <w:lvlJc w:val="left"/>
      <w:pPr>
        <w:ind w:left="6485" w:hanging="360"/>
      </w:pPr>
      <w:rPr>
        <w:rFonts w:ascii="Courier New" w:hAnsi="Courier New" w:cs="Courier New" w:hint="default"/>
      </w:rPr>
    </w:lvl>
    <w:lvl w:ilvl="8" w:tplc="08090005" w:tentative="1">
      <w:start w:val="1"/>
      <w:numFmt w:val="bullet"/>
      <w:lvlText w:val=""/>
      <w:lvlJc w:val="left"/>
      <w:pPr>
        <w:ind w:left="7205" w:hanging="360"/>
      </w:pPr>
      <w:rPr>
        <w:rFonts w:ascii="Wingdings" w:hAnsi="Wingdings" w:hint="default"/>
      </w:rPr>
    </w:lvl>
  </w:abstractNum>
  <w:abstractNum w:abstractNumId="3" w15:restartNumberingAfterBreak="0">
    <w:nsid w:val="119F4649"/>
    <w:multiLevelType w:val="hybridMultilevel"/>
    <w:tmpl w:val="544EC4F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9726601"/>
    <w:multiLevelType w:val="hybridMultilevel"/>
    <w:tmpl w:val="47F2A634"/>
    <w:lvl w:ilvl="0" w:tplc="FFFFFFFF">
      <w:start w:val="1"/>
      <w:numFmt w:val="lowerRoman"/>
      <w:lvlText w:val="%1."/>
      <w:lvlJc w:val="right"/>
      <w:pPr>
        <w:ind w:left="2160" w:hanging="360"/>
      </w:pPr>
    </w:lvl>
    <w:lvl w:ilvl="1" w:tplc="0809001B">
      <w:start w:val="1"/>
      <w:numFmt w:val="lowerRoman"/>
      <w:lvlText w:val="%2."/>
      <w:lvlJc w:val="right"/>
      <w:pPr>
        <w:ind w:left="1713"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5" w15:restartNumberingAfterBreak="0">
    <w:nsid w:val="1DD24AFB"/>
    <w:multiLevelType w:val="hybridMultilevel"/>
    <w:tmpl w:val="B0FAE4B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07FAE0B"/>
    <w:multiLevelType w:val="hybridMultilevel"/>
    <w:tmpl w:val="41A82102"/>
    <w:lvl w:ilvl="0" w:tplc="C5781128">
      <w:start w:val="1"/>
      <w:numFmt w:val="bullet"/>
      <w:lvlText w:val="·"/>
      <w:lvlJc w:val="left"/>
      <w:pPr>
        <w:ind w:left="720" w:hanging="360"/>
      </w:pPr>
      <w:rPr>
        <w:rFonts w:ascii="Symbol" w:hAnsi="Symbol" w:hint="default"/>
      </w:rPr>
    </w:lvl>
    <w:lvl w:ilvl="1" w:tplc="AA8C69FE">
      <w:start w:val="1"/>
      <w:numFmt w:val="bullet"/>
      <w:lvlText w:val="o"/>
      <w:lvlJc w:val="left"/>
      <w:pPr>
        <w:ind w:left="1440" w:hanging="360"/>
      </w:pPr>
      <w:rPr>
        <w:rFonts w:ascii="Courier New" w:hAnsi="Courier New" w:hint="default"/>
      </w:rPr>
    </w:lvl>
    <w:lvl w:ilvl="2" w:tplc="991655FE">
      <w:start w:val="1"/>
      <w:numFmt w:val="bullet"/>
      <w:lvlText w:val=""/>
      <w:lvlJc w:val="left"/>
      <w:pPr>
        <w:ind w:left="2160" w:hanging="360"/>
      </w:pPr>
      <w:rPr>
        <w:rFonts w:ascii="Wingdings" w:hAnsi="Wingdings" w:hint="default"/>
      </w:rPr>
    </w:lvl>
    <w:lvl w:ilvl="3" w:tplc="4F98FAB6">
      <w:start w:val="1"/>
      <w:numFmt w:val="bullet"/>
      <w:lvlText w:val=""/>
      <w:lvlJc w:val="left"/>
      <w:pPr>
        <w:ind w:left="2880" w:hanging="360"/>
      </w:pPr>
      <w:rPr>
        <w:rFonts w:ascii="Symbol" w:hAnsi="Symbol" w:hint="default"/>
      </w:rPr>
    </w:lvl>
    <w:lvl w:ilvl="4" w:tplc="B8E24EDA">
      <w:start w:val="1"/>
      <w:numFmt w:val="bullet"/>
      <w:lvlText w:val="o"/>
      <w:lvlJc w:val="left"/>
      <w:pPr>
        <w:ind w:left="3600" w:hanging="360"/>
      </w:pPr>
      <w:rPr>
        <w:rFonts w:ascii="Courier New" w:hAnsi="Courier New" w:hint="default"/>
      </w:rPr>
    </w:lvl>
    <w:lvl w:ilvl="5" w:tplc="84681EA6">
      <w:start w:val="1"/>
      <w:numFmt w:val="bullet"/>
      <w:lvlText w:val=""/>
      <w:lvlJc w:val="left"/>
      <w:pPr>
        <w:ind w:left="4320" w:hanging="360"/>
      </w:pPr>
      <w:rPr>
        <w:rFonts w:ascii="Wingdings" w:hAnsi="Wingdings" w:hint="default"/>
      </w:rPr>
    </w:lvl>
    <w:lvl w:ilvl="6" w:tplc="4B98767E">
      <w:start w:val="1"/>
      <w:numFmt w:val="bullet"/>
      <w:lvlText w:val=""/>
      <w:lvlJc w:val="left"/>
      <w:pPr>
        <w:ind w:left="5040" w:hanging="360"/>
      </w:pPr>
      <w:rPr>
        <w:rFonts w:ascii="Symbol" w:hAnsi="Symbol" w:hint="default"/>
      </w:rPr>
    </w:lvl>
    <w:lvl w:ilvl="7" w:tplc="1B841A26">
      <w:start w:val="1"/>
      <w:numFmt w:val="bullet"/>
      <w:lvlText w:val="o"/>
      <w:lvlJc w:val="left"/>
      <w:pPr>
        <w:ind w:left="5760" w:hanging="360"/>
      </w:pPr>
      <w:rPr>
        <w:rFonts w:ascii="Courier New" w:hAnsi="Courier New" w:hint="default"/>
      </w:rPr>
    </w:lvl>
    <w:lvl w:ilvl="8" w:tplc="8C64633A">
      <w:start w:val="1"/>
      <w:numFmt w:val="bullet"/>
      <w:lvlText w:val=""/>
      <w:lvlJc w:val="left"/>
      <w:pPr>
        <w:ind w:left="6480" w:hanging="360"/>
      </w:pPr>
      <w:rPr>
        <w:rFonts w:ascii="Wingdings" w:hAnsi="Wingdings" w:hint="default"/>
      </w:rPr>
    </w:lvl>
  </w:abstractNum>
  <w:abstractNum w:abstractNumId="7" w15:restartNumberingAfterBreak="0">
    <w:nsid w:val="294C038F"/>
    <w:multiLevelType w:val="hybridMultilevel"/>
    <w:tmpl w:val="82A0CAFC"/>
    <w:styleLink w:val="ImportedStyle10"/>
    <w:lvl w:ilvl="0" w:tplc="A08C9C98">
      <w:start w:val="1"/>
      <w:numFmt w:val="lowerLetter"/>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EB3057F2">
      <w:start w:val="1"/>
      <w:numFmt w:val="lowerLetter"/>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2" w:tplc="4CA84CB8">
      <w:start w:val="1"/>
      <w:numFmt w:val="lowerLetter"/>
      <w:lvlText w:val="%3)"/>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3" w:tplc="7E2CD248">
      <w:start w:val="1"/>
      <w:numFmt w:val="lowerLetter"/>
      <w:lvlText w:val="%4)"/>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4" w:tplc="CE9255AC">
      <w:start w:val="1"/>
      <w:numFmt w:val="lowerLetter"/>
      <w:lvlText w:val="%5)"/>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5" w:tplc="41ACCCE8">
      <w:start w:val="1"/>
      <w:numFmt w:val="lowerLetter"/>
      <w:lvlText w:val="%6)"/>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6" w:tplc="61BE2414">
      <w:start w:val="1"/>
      <w:numFmt w:val="lowerLetter"/>
      <w:lvlText w:val="%7)"/>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7" w:tplc="684EF856">
      <w:start w:val="1"/>
      <w:numFmt w:val="lowerLetter"/>
      <w:lvlText w:val="%8)"/>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8" w:tplc="B84812C4">
      <w:start w:val="1"/>
      <w:numFmt w:val="lowerLetter"/>
      <w:lvlText w:val="%9)"/>
      <w:lvlJc w:val="left"/>
      <w:pPr>
        <w:ind w:left="1134" w:hanging="567"/>
      </w:pPr>
      <w:rPr>
        <w:rFonts w:hAnsi="Arial Unicode MS"/>
        <w:caps w:val="0"/>
        <w:smallCaps w:val="0"/>
        <w:strike w:val="0"/>
        <w:dstrike w:val="0"/>
        <w:color w:val="000000"/>
        <w:spacing w:val="0"/>
        <w:w w:val="100"/>
        <w:kern w:val="0"/>
        <w:position w:val="0"/>
        <w:highlight w:val="none"/>
        <w:vertAlign w:val="baseline"/>
      </w:rPr>
    </w:lvl>
  </w:abstractNum>
  <w:abstractNum w:abstractNumId="8" w15:restartNumberingAfterBreak="0">
    <w:nsid w:val="35097710"/>
    <w:multiLevelType w:val="hybridMultilevel"/>
    <w:tmpl w:val="11F063E0"/>
    <w:lvl w:ilvl="0" w:tplc="098C9C88">
      <w:start w:val="1"/>
      <w:numFmt w:val="bullet"/>
      <w:lvlText w:val=""/>
      <w:lvlJc w:val="left"/>
      <w:pPr>
        <w:ind w:left="1080" w:hanging="360"/>
      </w:pPr>
      <w:rPr>
        <w:rFonts w:ascii="Symbol" w:hAnsi="Symbol" w:hint="default"/>
      </w:rPr>
    </w:lvl>
    <w:lvl w:ilvl="1" w:tplc="9C32D3A0">
      <w:start w:val="1"/>
      <w:numFmt w:val="bullet"/>
      <w:lvlText w:val="o"/>
      <w:lvlJc w:val="left"/>
      <w:pPr>
        <w:ind w:left="1800" w:hanging="360"/>
      </w:pPr>
      <w:rPr>
        <w:rFonts w:ascii="Courier New" w:hAnsi="Courier New" w:hint="default"/>
      </w:rPr>
    </w:lvl>
    <w:lvl w:ilvl="2" w:tplc="5EEE245A">
      <w:start w:val="1"/>
      <w:numFmt w:val="bullet"/>
      <w:lvlText w:val=""/>
      <w:lvlJc w:val="left"/>
      <w:pPr>
        <w:ind w:left="2520" w:hanging="360"/>
      </w:pPr>
      <w:rPr>
        <w:rFonts w:ascii="Wingdings" w:hAnsi="Wingdings" w:hint="default"/>
      </w:rPr>
    </w:lvl>
    <w:lvl w:ilvl="3" w:tplc="E5CA11C8">
      <w:start w:val="1"/>
      <w:numFmt w:val="bullet"/>
      <w:lvlText w:val=""/>
      <w:lvlJc w:val="left"/>
      <w:pPr>
        <w:ind w:left="3240" w:hanging="360"/>
      </w:pPr>
      <w:rPr>
        <w:rFonts w:ascii="Symbol" w:hAnsi="Symbol" w:hint="default"/>
      </w:rPr>
    </w:lvl>
    <w:lvl w:ilvl="4" w:tplc="AD201FF0">
      <w:start w:val="1"/>
      <w:numFmt w:val="bullet"/>
      <w:lvlText w:val="o"/>
      <w:lvlJc w:val="left"/>
      <w:pPr>
        <w:ind w:left="3960" w:hanging="360"/>
      </w:pPr>
      <w:rPr>
        <w:rFonts w:ascii="Courier New" w:hAnsi="Courier New" w:hint="default"/>
      </w:rPr>
    </w:lvl>
    <w:lvl w:ilvl="5" w:tplc="886E4844">
      <w:start w:val="1"/>
      <w:numFmt w:val="bullet"/>
      <w:lvlText w:val=""/>
      <w:lvlJc w:val="left"/>
      <w:pPr>
        <w:ind w:left="4680" w:hanging="360"/>
      </w:pPr>
      <w:rPr>
        <w:rFonts w:ascii="Wingdings" w:hAnsi="Wingdings" w:hint="default"/>
      </w:rPr>
    </w:lvl>
    <w:lvl w:ilvl="6" w:tplc="B5004AE6">
      <w:start w:val="1"/>
      <w:numFmt w:val="bullet"/>
      <w:lvlText w:val=""/>
      <w:lvlJc w:val="left"/>
      <w:pPr>
        <w:ind w:left="5400" w:hanging="360"/>
      </w:pPr>
      <w:rPr>
        <w:rFonts w:ascii="Symbol" w:hAnsi="Symbol" w:hint="default"/>
      </w:rPr>
    </w:lvl>
    <w:lvl w:ilvl="7" w:tplc="A97A608E">
      <w:start w:val="1"/>
      <w:numFmt w:val="bullet"/>
      <w:lvlText w:val="o"/>
      <w:lvlJc w:val="left"/>
      <w:pPr>
        <w:ind w:left="6120" w:hanging="360"/>
      </w:pPr>
      <w:rPr>
        <w:rFonts w:ascii="Courier New" w:hAnsi="Courier New" w:hint="default"/>
      </w:rPr>
    </w:lvl>
    <w:lvl w:ilvl="8" w:tplc="B4A21BA4">
      <w:start w:val="1"/>
      <w:numFmt w:val="bullet"/>
      <w:lvlText w:val=""/>
      <w:lvlJc w:val="left"/>
      <w:pPr>
        <w:ind w:left="6840" w:hanging="360"/>
      </w:pPr>
      <w:rPr>
        <w:rFonts w:ascii="Wingdings" w:hAnsi="Wingdings" w:hint="default"/>
      </w:rPr>
    </w:lvl>
  </w:abstractNum>
  <w:abstractNum w:abstractNumId="9" w15:restartNumberingAfterBreak="0">
    <w:nsid w:val="369700C2"/>
    <w:multiLevelType w:val="hybridMultilevel"/>
    <w:tmpl w:val="5A3AF78E"/>
    <w:lvl w:ilvl="0" w:tplc="08090001">
      <w:start w:val="1"/>
      <w:numFmt w:val="bullet"/>
      <w:lvlText w:val=""/>
      <w:lvlJc w:val="left"/>
      <w:pPr>
        <w:tabs>
          <w:tab w:val="num" w:pos="1440"/>
        </w:tabs>
        <w:ind w:left="1440" w:hanging="360"/>
      </w:pPr>
      <w:rPr>
        <w:rFonts w:ascii="Symbol" w:hAnsi="Symbol" w:hint="default"/>
      </w:rPr>
    </w:lvl>
    <w:lvl w:ilvl="1" w:tplc="08090003">
      <w:start w:val="1"/>
      <w:numFmt w:val="bullet"/>
      <w:lvlText w:val="o"/>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3DAF34FA"/>
    <w:multiLevelType w:val="hybridMultilevel"/>
    <w:tmpl w:val="2E3AD50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01A586F"/>
    <w:multiLevelType w:val="hybridMultilevel"/>
    <w:tmpl w:val="B61035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DFD1BDA"/>
    <w:multiLevelType w:val="hybridMultilevel"/>
    <w:tmpl w:val="7624A6D0"/>
    <w:lvl w:ilvl="0" w:tplc="08090017">
      <w:start w:val="1"/>
      <w:numFmt w:val="lowerLetter"/>
      <w:lvlText w:val="%1)"/>
      <w:lvlJc w:val="lef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3" w15:restartNumberingAfterBreak="0">
    <w:nsid w:val="4E543CC7"/>
    <w:multiLevelType w:val="hybridMultilevel"/>
    <w:tmpl w:val="DBF8746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50D83657"/>
    <w:multiLevelType w:val="hybridMultilevel"/>
    <w:tmpl w:val="C93800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B56432C"/>
    <w:multiLevelType w:val="hybridMultilevel"/>
    <w:tmpl w:val="CAA6C1FE"/>
    <w:lvl w:ilvl="0" w:tplc="A42495F0">
      <w:start w:val="1"/>
      <w:numFmt w:val="lowerLetter"/>
      <w:lvlText w:val="%1)"/>
      <w:lvlJc w:val="left"/>
      <w:pPr>
        <w:ind w:left="1440" w:hanging="360"/>
      </w:pPr>
    </w:lvl>
    <w:lvl w:ilvl="1" w:tplc="0FA8DCEC">
      <w:start w:val="1"/>
      <w:numFmt w:val="lowerRoman"/>
      <w:lvlText w:val="%2."/>
      <w:lvlJc w:val="left"/>
      <w:pPr>
        <w:ind w:left="2520" w:hanging="720"/>
      </w:pPr>
      <w:rPr>
        <w:rFonts w:hint="default"/>
      </w:r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15:restartNumberingAfterBreak="0">
    <w:nsid w:val="5E4A0769"/>
    <w:multiLevelType w:val="hybridMultilevel"/>
    <w:tmpl w:val="CCC8A50C"/>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7" w15:restartNumberingAfterBreak="0">
    <w:nsid w:val="5EAB01F1"/>
    <w:multiLevelType w:val="hybridMultilevel"/>
    <w:tmpl w:val="507C0CF8"/>
    <w:styleLink w:val="ImportedStyle13"/>
    <w:lvl w:ilvl="0" w:tplc="0294402E">
      <w:start w:val="1"/>
      <w:numFmt w:val="lowerRoman"/>
      <w:lvlText w:val="%1)"/>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rPr>
    </w:lvl>
    <w:lvl w:ilvl="1" w:tplc="88C68DBA">
      <w:start w:val="1"/>
      <w:numFmt w:val="lowerRoman"/>
      <w:lvlText w:val="%2)"/>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rPr>
    </w:lvl>
    <w:lvl w:ilvl="2" w:tplc="A366FACC">
      <w:start w:val="1"/>
      <w:numFmt w:val="lowerRoman"/>
      <w:lvlText w:val="%3)"/>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rPr>
    </w:lvl>
    <w:lvl w:ilvl="3" w:tplc="E8CC9678">
      <w:start w:val="1"/>
      <w:numFmt w:val="lowerRoman"/>
      <w:lvlText w:val="%4)"/>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rPr>
    </w:lvl>
    <w:lvl w:ilvl="4" w:tplc="F72291BC">
      <w:start w:val="1"/>
      <w:numFmt w:val="lowerRoman"/>
      <w:lvlText w:val="%5)"/>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rPr>
    </w:lvl>
    <w:lvl w:ilvl="5" w:tplc="85FED560">
      <w:start w:val="1"/>
      <w:numFmt w:val="lowerRoman"/>
      <w:lvlText w:val="%6)"/>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rPr>
    </w:lvl>
    <w:lvl w:ilvl="6" w:tplc="756C3024">
      <w:start w:val="1"/>
      <w:numFmt w:val="lowerRoman"/>
      <w:lvlText w:val="%7)"/>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rPr>
    </w:lvl>
    <w:lvl w:ilvl="7" w:tplc="1E66B7D4">
      <w:start w:val="1"/>
      <w:numFmt w:val="lowerRoman"/>
      <w:lvlText w:val="%8)"/>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rPr>
    </w:lvl>
    <w:lvl w:ilvl="8" w:tplc="DA32334A">
      <w:start w:val="1"/>
      <w:numFmt w:val="lowerRoman"/>
      <w:lvlText w:val="%9)"/>
      <w:lvlJc w:val="left"/>
      <w:pPr>
        <w:tabs>
          <w:tab w:val="left" w:pos="720"/>
        </w:tabs>
        <w:ind w:left="1440" w:hanging="720"/>
      </w:pPr>
      <w:rPr>
        <w:rFonts w:hAnsi="Arial Unicode MS"/>
        <w:caps w:val="0"/>
        <w:smallCaps w:val="0"/>
        <w:strike w:val="0"/>
        <w:dstrike w:val="0"/>
        <w:color w:val="000000"/>
        <w:spacing w:val="0"/>
        <w:w w:val="100"/>
        <w:kern w:val="0"/>
        <w:position w:val="0"/>
        <w:highlight w:val="none"/>
        <w:vertAlign w:val="baseline"/>
      </w:rPr>
    </w:lvl>
  </w:abstractNum>
  <w:abstractNum w:abstractNumId="18" w15:restartNumberingAfterBreak="0">
    <w:nsid w:val="668F452C"/>
    <w:multiLevelType w:val="multilevel"/>
    <w:tmpl w:val="719E226A"/>
    <w:styleLink w:val="ImportedStyle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1287" w:hanging="567"/>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ind w:left="2367" w:hanging="927"/>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3447" w:hanging="1287"/>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4167" w:hanging="1287"/>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4320" w:hanging="72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5967" w:hanging="1647"/>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7047" w:hanging="2007"/>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7767" w:hanging="2007"/>
      </w:pPr>
      <w:rPr>
        <w:rFonts w:hAnsi="Arial Unicode MS"/>
        <w:b/>
        <w:bCs/>
        <w:caps w:val="0"/>
        <w:smallCaps w:val="0"/>
        <w:strike w:val="0"/>
        <w:dstrike w:val="0"/>
        <w:color w:val="000000"/>
        <w:spacing w:val="0"/>
        <w:w w:val="100"/>
        <w:kern w:val="0"/>
        <w:position w:val="0"/>
        <w:highlight w:val="none"/>
        <w:vertAlign w:val="baseline"/>
      </w:rPr>
    </w:lvl>
  </w:abstractNum>
  <w:abstractNum w:abstractNumId="19" w15:restartNumberingAfterBreak="0">
    <w:nsid w:val="68B94D05"/>
    <w:multiLevelType w:val="hybridMultilevel"/>
    <w:tmpl w:val="270A1AC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DFA4F52"/>
    <w:multiLevelType w:val="hybridMultilevel"/>
    <w:tmpl w:val="F6D26B3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E5467FF"/>
    <w:multiLevelType w:val="hybridMultilevel"/>
    <w:tmpl w:val="F112F0AA"/>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6F7A76B7"/>
    <w:multiLevelType w:val="hybridMultilevel"/>
    <w:tmpl w:val="47EA3560"/>
    <w:lvl w:ilvl="0" w:tplc="0809001B">
      <w:start w:val="1"/>
      <w:numFmt w:val="lowerRoman"/>
      <w:lvlText w:val="%1."/>
      <w:lvlJc w:val="right"/>
      <w:pPr>
        <w:ind w:left="1713" w:hanging="360"/>
      </w:p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3" w15:restartNumberingAfterBreak="0">
    <w:nsid w:val="785E0A1F"/>
    <w:multiLevelType w:val="hybridMultilevel"/>
    <w:tmpl w:val="8568458C"/>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795D3E62"/>
    <w:multiLevelType w:val="hybridMultilevel"/>
    <w:tmpl w:val="FF40EC12"/>
    <w:styleLink w:val="ImportedStyle12"/>
    <w:lvl w:ilvl="0" w:tplc="F046772C">
      <w:start w:val="1"/>
      <w:numFmt w:val="lowerRoman"/>
      <w:lvlText w:val="%1)"/>
      <w:lvlJc w:val="left"/>
      <w:pPr>
        <w:tabs>
          <w:tab w:val="center" w:pos="4320"/>
          <w:tab w:val="right" w:pos="8640"/>
        </w:tabs>
        <w:ind w:left="1134" w:hanging="567"/>
      </w:pPr>
      <w:rPr>
        <w:rFonts w:hAnsi="Arial Unicode MS"/>
        <w:caps w:val="0"/>
        <w:smallCaps w:val="0"/>
        <w:strike w:val="0"/>
        <w:dstrike w:val="0"/>
        <w:color w:val="000000"/>
        <w:spacing w:val="0"/>
        <w:w w:val="100"/>
        <w:kern w:val="0"/>
        <w:position w:val="0"/>
        <w:highlight w:val="none"/>
        <w:vertAlign w:val="baseline"/>
      </w:rPr>
    </w:lvl>
    <w:lvl w:ilvl="1" w:tplc="50868C62">
      <w:start w:val="1"/>
      <w:numFmt w:val="lowerRoman"/>
      <w:lvlText w:val="%2)"/>
      <w:lvlJc w:val="left"/>
      <w:pPr>
        <w:tabs>
          <w:tab w:val="center" w:pos="4320"/>
          <w:tab w:val="right" w:pos="8640"/>
        </w:tabs>
        <w:ind w:left="1134" w:hanging="567"/>
      </w:pPr>
      <w:rPr>
        <w:rFonts w:hAnsi="Arial Unicode MS"/>
        <w:caps w:val="0"/>
        <w:smallCaps w:val="0"/>
        <w:strike w:val="0"/>
        <w:dstrike w:val="0"/>
        <w:color w:val="000000"/>
        <w:spacing w:val="0"/>
        <w:w w:val="100"/>
        <w:kern w:val="0"/>
        <w:position w:val="0"/>
        <w:highlight w:val="none"/>
        <w:vertAlign w:val="baseline"/>
      </w:rPr>
    </w:lvl>
    <w:lvl w:ilvl="2" w:tplc="0E1A3EF8">
      <w:start w:val="1"/>
      <w:numFmt w:val="lowerRoman"/>
      <w:lvlText w:val="%3)"/>
      <w:lvlJc w:val="left"/>
      <w:pPr>
        <w:tabs>
          <w:tab w:val="center" w:pos="4320"/>
          <w:tab w:val="right" w:pos="8640"/>
        </w:tabs>
        <w:ind w:left="1134" w:hanging="567"/>
      </w:pPr>
      <w:rPr>
        <w:rFonts w:hAnsi="Arial Unicode MS"/>
        <w:caps w:val="0"/>
        <w:smallCaps w:val="0"/>
        <w:strike w:val="0"/>
        <w:dstrike w:val="0"/>
        <w:color w:val="000000"/>
        <w:spacing w:val="0"/>
        <w:w w:val="100"/>
        <w:kern w:val="0"/>
        <w:position w:val="0"/>
        <w:highlight w:val="none"/>
        <w:vertAlign w:val="baseline"/>
      </w:rPr>
    </w:lvl>
    <w:lvl w:ilvl="3" w:tplc="109808B4">
      <w:start w:val="1"/>
      <w:numFmt w:val="lowerRoman"/>
      <w:lvlText w:val="%4)"/>
      <w:lvlJc w:val="left"/>
      <w:pPr>
        <w:tabs>
          <w:tab w:val="center" w:pos="4320"/>
          <w:tab w:val="right" w:pos="8640"/>
        </w:tabs>
        <w:ind w:left="1134" w:hanging="567"/>
      </w:pPr>
      <w:rPr>
        <w:rFonts w:hAnsi="Arial Unicode MS"/>
        <w:caps w:val="0"/>
        <w:smallCaps w:val="0"/>
        <w:strike w:val="0"/>
        <w:dstrike w:val="0"/>
        <w:color w:val="000000"/>
        <w:spacing w:val="0"/>
        <w:w w:val="100"/>
        <w:kern w:val="0"/>
        <w:position w:val="0"/>
        <w:highlight w:val="none"/>
        <w:vertAlign w:val="baseline"/>
      </w:rPr>
    </w:lvl>
    <w:lvl w:ilvl="4" w:tplc="54E436BA">
      <w:start w:val="1"/>
      <w:numFmt w:val="lowerRoman"/>
      <w:lvlText w:val="%5)"/>
      <w:lvlJc w:val="left"/>
      <w:pPr>
        <w:tabs>
          <w:tab w:val="center" w:pos="4320"/>
          <w:tab w:val="right" w:pos="8640"/>
        </w:tabs>
        <w:ind w:left="1134" w:hanging="567"/>
      </w:pPr>
      <w:rPr>
        <w:rFonts w:hAnsi="Arial Unicode MS"/>
        <w:caps w:val="0"/>
        <w:smallCaps w:val="0"/>
        <w:strike w:val="0"/>
        <w:dstrike w:val="0"/>
        <w:color w:val="000000"/>
        <w:spacing w:val="0"/>
        <w:w w:val="100"/>
        <w:kern w:val="0"/>
        <w:position w:val="0"/>
        <w:highlight w:val="none"/>
        <w:vertAlign w:val="baseline"/>
      </w:rPr>
    </w:lvl>
    <w:lvl w:ilvl="5" w:tplc="D450B090">
      <w:start w:val="1"/>
      <w:numFmt w:val="lowerRoman"/>
      <w:lvlText w:val="%6)"/>
      <w:lvlJc w:val="left"/>
      <w:pPr>
        <w:tabs>
          <w:tab w:val="center" w:pos="4320"/>
          <w:tab w:val="right" w:pos="8640"/>
        </w:tabs>
        <w:ind w:left="1134" w:hanging="567"/>
      </w:pPr>
      <w:rPr>
        <w:rFonts w:hAnsi="Arial Unicode MS"/>
        <w:caps w:val="0"/>
        <w:smallCaps w:val="0"/>
        <w:strike w:val="0"/>
        <w:dstrike w:val="0"/>
        <w:color w:val="000000"/>
        <w:spacing w:val="0"/>
        <w:w w:val="100"/>
        <w:kern w:val="0"/>
        <w:position w:val="0"/>
        <w:highlight w:val="none"/>
        <w:vertAlign w:val="baseline"/>
      </w:rPr>
    </w:lvl>
    <w:lvl w:ilvl="6" w:tplc="3ACAE28A">
      <w:start w:val="1"/>
      <w:numFmt w:val="lowerRoman"/>
      <w:lvlText w:val="%7)"/>
      <w:lvlJc w:val="left"/>
      <w:pPr>
        <w:tabs>
          <w:tab w:val="center" w:pos="4320"/>
          <w:tab w:val="right" w:pos="8640"/>
        </w:tabs>
        <w:ind w:left="1134" w:hanging="567"/>
      </w:pPr>
      <w:rPr>
        <w:rFonts w:hAnsi="Arial Unicode MS"/>
        <w:caps w:val="0"/>
        <w:smallCaps w:val="0"/>
        <w:strike w:val="0"/>
        <w:dstrike w:val="0"/>
        <w:color w:val="000000"/>
        <w:spacing w:val="0"/>
        <w:w w:val="100"/>
        <w:kern w:val="0"/>
        <w:position w:val="0"/>
        <w:highlight w:val="none"/>
        <w:vertAlign w:val="baseline"/>
      </w:rPr>
    </w:lvl>
    <w:lvl w:ilvl="7" w:tplc="42DA0434">
      <w:start w:val="1"/>
      <w:numFmt w:val="lowerRoman"/>
      <w:lvlText w:val="%8)"/>
      <w:lvlJc w:val="left"/>
      <w:pPr>
        <w:tabs>
          <w:tab w:val="center" w:pos="4320"/>
          <w:tab w:val="right" w:pos="8640"/>
        </w:tabs>
        <w:ind w:left="1134" w:hanging="567"/>
      </w:pPr>
      <w:rPr>
        <w:rFonts w:hAnsi="Arial Unicode MS"/>
        <w:caps w:val="0"/>
        <w:smallCaps w:val="0"/>
        <w:strike w:val="0"/>
        <w:dstrike w:val="0"/>
        <w:color w:val="000000"/>
        <w:spacing w:val="0"/>
        <w:w w:val="100"/>
        <w:kern w:val="0"/>
        <w:position w:val="0"/>
        <w:highlight w:val="none"/>
        <w:vertAlign w:val="baseline"/>
      </w:rPr>
    </w:lvl>
    <w:lvl w:ilvl="8" w:tplc="B0868496">
      <w:start w:val="1"/>
      <w:numFmt w:val="lowerRoman"/>
      <w:lvlText w:val="%9)"/>
      <w:lvlJc w:val="left"/>
      <w:pPr>
        <w:tabs>
          <w:tab w:val="center" w:pos="4320"/>
          <w:tab w:val="right" w:pos="8640"/>
        </w:tabs>
        <w:ind w:left="1134" w:hanging="567"/>
      </w:pPr>
      <w:rPr>
        <w:rFonts w:hAnsi="Arial Unicode MS"/>
        <w:caps w:val="0"/>
        <w:smallCaps w:val="0"/>
        <w:strike w:val="0"/>
        <w:dstrike w:val="0"/>
        <w:color w:val="000000"/>
        <w:spacing w:val="0"/>
        <w:w w:val="100"/>
        <w:kern w:val="0"/>
        <w:position w:val="0"/>
        <w:highlight w:val="none"/>
        <w:vertAlign w:val="baseline"/>
      </w:rPr>
    </w:lvl>
  </w:abstractNum>
  <w:abstractNum w:abstractNumId="25" w15:restartNumberingAfterBreak="0">
    <w:nsid w:val="7B1242B0"/>
    <w:multiLevelType w:val="hybridMultilevel"/>
    <w:tmpl w:val="5218B84A"/>
    <w:styleLink w:val="ImportedStyle11"/>
    <w:lvl w:ilvl="0" w:tplc="9D100314">
      <w:start w:val="1"/>
      <w:numFmt w:val="lowerRoman"/>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1" w:tplc="81CC0DE0">
      <w:start w:val="1"/>
      <w:numFmt w:val="lowerRoman"/>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2" w:tplc="B45CD33C">
      <w:start w:val="1"/>
      <w:numFmt w:val="lowerRoman"/>
      <w:lvlText w:val="%3)"/>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3" w:tplc="1F2C29A2">
      <w:start w:val="1"/>
      <w:numFmt w:val="lowerRoman"/>
      <w:lvlText w:val="%4)"/>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4" w:tplc="85708858">
      <w:start w:val="1"/>
      <w:numFmt w:val="lowerRoman"/>
      <w:lvlText w:val="%5)"/>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5" w:tplc="40C05318">
      <w:start w:val="1"/>
      <w:numFmt w:val="lowerRoman"/>
      <w:lvlText w:val="%6)"/>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6" w:tplc="224C08E8">
      <w:start w:val="1"/>
      <w:numFmt w:val="lowerRoman"/>
      <w:lvlText w:val="%7)"/>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7" w:tplc="EF669AA0">
      <w:start w:val="1"/>
      <w:numFmt w:val="lowerRoman"/>
      <w:lvlText w:val="%8)"/>
      <w:lvlJc w:val="left"/>
      <w:pPr>
        <w:ind w:left="1134" w:hanging="567"/>
      </w:pPr>
      <w:rPr>
        <w:rFonts w:hAnsi="Arial Unicode MS"/>
        <w:caps w:val="0"/>
        <w:smallCaps w:val="0"/>
        <w:strike w:val="0"/>
        <w:dstrike w:val="0"/>
        <w:color w:val="000000"/>
        <w:spacing w:val="0"/>
        <w:w w:val="100"/>
        <w:kern w:val="0"/>
        <w:position w:val="0"/>
        <w:highlight w:val="none"/>
        <w:vertAlign w:val="baseline"/>
      </w:rPr>
    </w:lvl>
    <w:lvl w:ilvl="8" w:tplc="89BEBD26">
      <w:start w:val="1"/>
      <w:numFmt w:val="lowerRoman"/>
      <w:lvlText w:val="%9)"/>
      <w:lvlJc w:val="left"/>
      <w:pPr>
        <w:ind w:left="1134" w:hanging="567"/>
      </w:pPr>
      <w:rPr>
        <w:rFonts w:hAnsi="Arial Unicode MS"/>
        <w:caps w:val="0"/>
        <w:smallCaps w:val="0"/>
        <w:strike w:val="0"/>
        <w:dstrike w:val="0"/>
        <w:color w:val="000000"/>
        <w:spacing w:val="0"/>
        <w:w w:val="100"/>
        <w:kern w:val="0"/>
        <w:position w:val="0"/>
        <w:highlight w:val="none"/>
        <w:vertAlign w:val="baseline"/>
      </w:rPr>
    </w:lvl>
  </w:abstractNum>
  <w:abstractNum w:abstractNumId="26" w15:restartNumberingAfterBreak="0">
    <w:nsid w:val="7D5D3E39"/>
    <w:multiLevelType w:val="hybridMultilevel"/>
    <w:tmpl w:val="B59C9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58666708">
    <w:abstractNumId w:val="8"/>
  </w:num>
  <w:num w:numId="2" w16cid:durableId="1508010550">
    <w:abstractNumId w:val="18"/>
  </w:num>
  <w:num w:numId="3" w16cid:durableId="1172837219">
    <w:abstractNumId w:val="1"/>
  </w:num>
  <w:num w:numId="4" w16cid:durableId="401373889">
    <w:abstractNumId w:val="7"/>
  </w:num>
  <w:num w:numId="5" w16cid:durableId="2022926310">
    <w:abstractNumId w:val="25"/>
  </w:num>
  <w:num w:numId="6" w16cid:durableId="424375867">
    <w:abstractNumId w:val="24"/>
  </w:num>
  <w:num w:numId="7" w16cid:durableId="831798044">
    <w:abstractNumId w:val="17"/>
  </w:num>
  <w:num w:numId="8" w16cid:durableId="1060904803">
    <w:abstractNumId w:val="14"/>
  </w:num>
  <w:num w:numId="9" w16cid:durableId="1604221825">
    <w:abstractNumId w:val="9"/>
  </w:num>
  <w:num w:numId="10" w16cid:durableId="1420103618">
    <w:abstractNumId w:val="11"/>
  </w:num>
  <w:num w:numId="11" w16cid:durableId="1832519217">
    <w:abstractNumId w:val="0"/>
  </w:num>
  <w:num w:numId="12" w16cid:durableId="344981825">
    <w:abstractNumId w:val="13"/>
  </w:num>
  <w:num w:numId="13" w16cid:durableId="19939472">
    <w:abstractNumId w:val="5"/>
  </w:num>
  <w:num w:numId="14" w16cid:durableId="114761197">
    <w:abstractNumId w:val="23"/>
  </w:num>
  <w:num w:numId="15" w16cid:durableId="735592944">
    <w:abstractNumId w:val="21"/>
  </w:num>
  <w:num w:numId="16" w16cid:durableId="548614454">
    <w:abstractNumId w:val="26"/>
  </w:num>
  <w:num w:numId="17" w16cid:durableId="1060130982">
    <w:abstractNumId w:val="2"/>
  </w:num>
  <w:num w:numId="18" w16cid:durableId="714351974">
    <w:abstractNumId w:val="19"/>
  </w:num>
  <w:num w:numId="19" w16cid:durableId="870806269">
    <w:abstractNumId w:val="20"/>
  </w:num>
  <w:num w:numId="20" w16cid:durableId="1594169285">
    <w:abstractNumId w:val="6"/>
  </w:num>
  <w:num w:numId="21" w16cid:durableId="1333489586">
    <w:abstractNumId w:val="16"/>
  </w:num>
  <w:num w:numId="22" w16cid:durableId="1660226839">
    <w:abstractNumId w:val="12"/>
  </w:num>
  <w:num w:numId="23" w16cid:durableId="1419520855">
    <w:abstractNumId w:val="22"/>
  </w:num>
  <w:num w:numId="24" w16cid:durableId="1722512235">
    <w:abstractNumId w:val="3"/>
  </w:num>
  <w:num w:numId="25" w16cid:durableId="531235467">
    <w:abstractNumId w:val="10"/>
  </w:num>
  <w:num w:numId="26" w16cid:durableId="1575550997">
    <w:abstractNumId w:val="15"/>
  </w:num>
  <w:num w:numId="27" w16cid:durableId="2033602705">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C57"/>
    <w:rsid w:val="00001EC9"/>
    <w:rsid w:val="00003B13"/>
    <w:rsid w:val="00006BBF"/>
    <w:rsid w:val="00007DB7"/>
    <w:rsid w:val="00007EA0"/>
    <w:rsid w:val="000133DE"/>
    <w:rsid w:val="00013EA1"/>
    <w:rsid w:val="000142F5"/>
    <w:rsid w:val="000154C7"/>
    <w:rsid w:val="000163C3"/>
    <w:rsid w:val="00017B01"/>
    <w:rsid w:val="00020743"/>
    <w:rsid w:val="000218B3"/>
    <w:rsid w:val="0002261F"/>
    <w:rsid w:val="00022B52"/>
    <w:rsid w:val="00030145"/>
    <w:rsid w:val="00031EA5"/>
    <w:rsid w:val="00033548"/>
    <w:rsid w:val="00033921"/>
    <w:rsid w:val="0003669E"/>
    <w:rsid w:val="000367E4"/>
    <w:rsid w:val="000371F6"/>
    <w:rsid w:val="00037FC9"/>
    <w:rsid w:val="0004172F"/>
    <w:rsid w:val="000418D8"/>
    <w:rsid w:val="00041A37"/>
    <w:rsid w:val="000437D8"/>
    <w:rsid w:val="00045C92"/>
    <w:rsid w:val="00050FE9"/>
    <w:rsid w:val="000524D4"/>
    <w:rsid w:val="00054622"/>
    <w:rsid w:val="0005744C"/>
    <w:rsid w:val="00060AAE"/>
    <w:rsid w:val="00061F47"/>
    <w:rsid w:val="00062802"/>
    <w:rsid w:val="00062C3F"/>
    <w:rsid w:val="0006350B"/>
    <w:rsid w:val="00063DB2"/>
    <w:rsid w:val="00065A38"/>
    <w:rsid w:val="00065DC6"/>
    <w:rsid w:val="000706B8"/>
    <w:rsid w:val="00071115"/>
    <w:rsid w:val="0007116E"/>
    <w:rsid w:val="00072BBF"/>
    <w:rsid w:val="00082177"/>
    <w:rsid w:val="000824AA"/>
    <w:rsid w:val="0008447A"/>
    <w:rsid w:val="00084732"/>
    <w:rsid w:val="00084757"/>
    <w:rsid w:val="00085240"/>
    <w:rsid w:val="000860DC"/>
    <w:rsid w:val="000868F6"/>
    <w:rsid w:val="00086E88"/>
    <w:rsid w:val="000877DD"/>
    <w:rsid w:val="00087ED8"/>
    <w:rsid w:val="00091AA4"/>
    <w:rsid w:val="00091C10"/>
    <w:rsid w:val="0009252A"/>
    <w:rsid w:val="00094EB6"/>
    <w:rsid w:val="000956F1"/>
    <w:rsid w:val="00096DE7"/>
    <w:rsid w:val="000A03BB"/>
    <w:rsid w:val="000A1372"/>
    <w:rsid w:val="000A1894"/>
    <w:rsid w:val="000A268C"/>
    <w:rsid w:val="000A29B0"/>
    <w:rsid w:val="000A2E43"/>
    <w:rsid w:val="000A3EEB"/>
    <w:rsid w:val="000A423F"/>
    <w:rsid w:val="000A471F"/>
    <w:rsid w:val="000A5504"/>
    <w:rsid w:val="000A791B"/>
    <w:rsid w:val="000B10AB"/>
    <w:rsid w:val="000B1D6C"/>
    <w:rsid w:val="000B356A"/>
    <w:rsid w:val="000B7F86"/>
    <w:rsid w:val="000C0B19"/>
    <w:rsid w:val="000C6014"/>
    <w:rsid w:val="000D1D1F"/>
    <w:rsid w:val="000E00A4"/>
    <w:rsid w:val="000E2219"/>
    <w:rsid w:val="000E2ECD"/>
    <w:rsid w:val="000E3348"/>
    <w:rsid w:val="000E54C7"/>
    <w:rsid w:val="000F05CC"/>
    <w:rsid w:val="000F0BD6"/>
    <w:rsid w:val="000F0EB5"/>
    <w:rsid w:val="000F202C"/>
    <w:rsid w:val="000F38BB"/>
    <w:rsid w:val="000F3B5D"/>
    <w:rsid w:val="000F3EF1"/>
    <w:rsid w:val="000F44C6"/>
    <w:rsid w:val="000F4D3B"/>
    <w:rsid w:val="001006FF"/>
    <w:rsid w:val="0010089B"/>
    <w:rsid w:val="00100F24"/>
    <w:rsid w:val="00106ACD"/>
    <w:rsid w:val="001078C0"/>
    <w:rsid w:val="00111372"/>
    <w:rsid w:val="001119BD"/>
    <w:rsid w:val="00112F50"/>
    <w:rsid w:val="0011371E"/>
    <w:rsid w:val="00114E11"/>
    <w:rsid w:val="00117A2D"/>
    <w:rsid w:val="00120C94"/>
    <w:rsid w:val="00120ECB"/>
    <w:rsid w:val="00121611"/>
    <w:rsid w:val="00124D59"/>
    <w:rsid w:val="00125082"/>
    <w:rsid w:val="00125260"/>
    <w:rsid w:val="001253F4"/>
    <w:rsid w:val="001329F3"/>
    <w:rsid w:val="0013520B"/>
    <w:rsid w:val="00140BB0"/>
    <w:rsid w:val="0014444C"/>
    <w:rsid w:val="00144F83"/>
    <w:rsid w:val="00151A12"/>
    <w:rsid w:val="00155B79"/>
    <w:rsid w:val="00155DC4"/>
    <w:rsid w:val="001569F2"/>
    <w:rsid w:val="0016093A"/>
    <w:rsid w:val="00164CCF"/>
    <w:rsid w:val="0016528C"/>
    <w:rsid w:val="0016544C"/>
    <w:rsid w:val="00167A85"/>
    <w:rsid w:val="001706CF"/>
    <w:rsid w:val="00171019"/>
    <w:rsid w:val="00171021"/>
    <w:rsid w:val="00171BD4"/>
    <w:rsid w:val="001724E1"/>
    <w:rsid w:val="00173F0C"/>
    <w:rsid w:val="00176499"/>
    <w:rsid w:val="00181FCF"/>
    <w:rsid w:val="001828BC"/>
    <w:rsid w:val="0018336F"/>
    <w:rsid w:val="00185342"/>
    <w:rsid w:val="00185B6A"/>
    <w:rsid w:val="001867B6"/>
    <w:rsid w:val="00187106"/>
    <w:rsid w:val="00187247"/>
    <w:rsid w:val="00191325"/>
    <w:rsid w:val="00191DAF"/>
    <w:rsid w:val="00194488"/>
    <w:rsid w:val="001947C8"/>
    <w:rsid w:val="00196365"/>
    <w:rsid w:val="001A008B"/>
    <w:rsid w:val="001A1208"/>
    <w:rsid w:val="001A5CEE"/>
    <w:rsid w:val="001A63CA"/>
    <w:rsid w:val="001B021D"/>
    <w:rsid w:val="001B1416"/>
    <w:rsid w:val="001B19B8"/>
    <w:rsid w:val="001B2515"/>
    <w:rsid w:val="001B259A"/>
    <w:rsid w:val="001B5F5F"/>
    <w:rsid w:val="001B644B"/>
    <w:rsid w:val="001B696E"/>
    <w:rsid w:val="001C046E"/>
    <w:rsid w:val="001C101F"/>
    <w:rsid w:val="001C1EE6"/>
    <w:rsid w:val="001C4D15"/>
    <w:rsid w:val="001C59E7"/>
    <w:rsid w:val="001D16BE"/>
    <w:rsid w:val="001D1B11"/>
    <w:rsid w:val="001D4CFC"/>
    <w:rsid w:val="001D575B"/>
    <w:rsid w:val="001D6D7C"/>
    <w:rsid w:val="001D7001"/>
    <w:rsid w:val="001E4C5E"/>
    <w:rsid w:val="001E60FA"/>
    <w:rsid w:val="001E6D4F"/>
    <w:rsid w:val="001E71EF"/>
    <w:rsid w:val="001F2C21"/>
    <w:rsid w:val="001F433F"/>
    <w:rsid w:val="001F47BD"/>
    <w:rsid w:val="001F60EA"/>
    <w:rsid w:val="001F64E1"/>
    <w:rsid w:val="001F7CBE"/>
    <w:rsid w:val="00201363"/>
    <w:rsid w:val="002021D8"/>
    <w:rsid w:val="002043FB"/>
    <w:rsid w:val="002046AE"/>
    <w:rsid w:val="00204E6F"/>
    <w:rsid w:val="002063C0"/>
    <w:rsid w:val="00206545"/>
    <w:rsid w:val="002115D4"/>
    <w:rsid w:val="00212CFB"/>
    <w:rsid w:val="00212DFC"/>
    <w:rsid w:val="00214E40"/>
    <w:rsid w:val="00214ED8"/>
    <w:rsid w:val="00214EF6"/>
    <w:rsid w:val="00215697"/>
    <w:rsid w:val="002167A2"/>
    <w:rsid w:val="00216C57"/>
    <w:rsid w:val="00217A99"/>
    <w:rsid w:val="002204FE"/>
    <w:rsid w:val="0022103B"/>
    <w:rsid w:val="00224CC4"/>
    <w:rsid w:val="0022781C"/>
    <w:rsid w:val="00230185"/>
    <w:rsid w:val="0023143E"/>
    <w:rsid w:val="00232BDA"/>
    <w:rsid w:val="00233CBE"/>
    <w:rsid w:val="002352A5"/>
    <w:rsid w:val="002364C6"/>
    <w:rsid w:val="00236AF5"/>
    <w:rsid w:val="002374DC"/>
    <w:rsid w:val="002430DF"/>
    <w:rsid w:val="002439D2"/>
    <w:rsid w:val="002450A2"/>
    <w:rsid w:val="00245299"/>
    <w:rsid w:val="00246DCA"/>
    <w:rsid w:val="00247D81"/>
    <w:rsid w:val="00247F1D"/>
    <w:rsid w:val="00247F32"/>
    <w:rsid w:val="00252147"/>
    <w:rsid w:val="00255FBC"/>
    <w:rsid w:val="00256DF4"/>
    <w:rsid w:val="0025785F"/>
    <w:rsid w:val="00262B58"/>
    <w:rsid w:val="00262FFB"/>
    <w:rsid w:val="00263289"/>
    <w:rsid w:val="00264C3A"/>
    <w:rsid w:val="002651CF"/>
    <w:rsid w:val="002657F9"/>
    <w:rsid w:val="0026636D"/>
    <w:rsid w:val="00267838"/>
    <w:rsid w:val="002726EE"/>
    <w:rsid w:val="00272AF0"/>
    <w:rsid w:val="00273378"/>
    <w:rsid w:val="00273552"/>
    <w:rsid w:val="0027531D"/>
    <w:rsid w:val="0027707B"/>
    <w:rsid w:val="00277F31"/>
    <w:rsid w:val="0028473E"/>
    <w:rsid w:val="0028562C"/>
    <w:rsid w:val="00286DCE"/>
    <w:rsid w:val="00286DE5"/>
    <w:rsid w:val="00287C30"/>
    <w:rsid w:val="00291556"/>
    <w:rsid w:val="002922C5"/>
    <w:rsid w:val="00294811"/>
    <w:rsid w:val="002A5608"/>
    <w:rsid w:val="002A7B52"/>
    <w:rsid w:val="002B18F5"/>
    <w:rsid w:val="002B25D5"/>
    <w:rsid w:val="002B5816"/>
    <w:rsid w:val="002B756A"/>
    <w:rsid w:val="002C10CA"/>
    <w:rsid w:val="002C15CB"/>
    <w:rsid w:val="002C71BA"/>
    <w:rsid w:val="002D104A"/>
    <w:rsid w:val="002D2E9C"/>
    <w:rsid w:val="002D333E"/>
    <w:rsid w:val="002D39DB"/>
    <w:rsid w:val="002D51BF"/>
    <w:rsid w:val="002D6932"/>
    <w:rsid w:val="002D75A5"/>
    <w:rsid w:val="002E1A4D"/>
    <w:rsid w:val="002E20BE"/>
    <w:rsid w:val="002E29A5"/>
    <w:rsid w:val="002E340A"/>
    <w:rsid w:val="002E3461"/>
    <w:rsid w:val="002E470B"/>
    <w:rsid w:val="002E4DA9"/>
    <w:rsid w:val="002E5157"/>
    <w:rsid w:val="002E5B68"/>
    <w:rsid w:val="002F0D02"/>
    <w:rsid w:val="002F1773"/>
    <w:rsid w:val="002F2FE9"/>
    <w:rsid w:val="002F4BFD"/>
    <w:rsid w:val="002F555E"/>
    <w:rsid w:val="002F5F8D"/>
    <w:rsid w:val="003029DB"/>
    <w:rsid w:val="0030396F"/>
    <w:rsid w:val="0030504F"/>
    <w:rsid w:val="00305541"/>
    <w:rsid w:val="00306506"/>
    <w:rsid w:val="0031004C"/>
    <w:rsid w:val="0031086B"/>
    <w:rsid w:val="003125DA"/>
    <w:rsid w:val="003140C4"/>
    <w:rsid w:val="00314D9F"/>
    <w:rsid w:val="003174F7"/>
    <w:rsid w:val="00317986"/>
    <w:rsid w:val="00320987"/>
    <w:rsid w:val="00320B17"/>
    <w:rsid w:val="00320E5B"/>
    <w:rsid w:val="00321545"/>
    <w:rsid w:val="00323C1E"/>
    <w:rsid w:val="003257BD"/>
    <w:rsid w:val="0032796C"/>
    <w:rsid w:val="00330458"/>
    <w:rsid w:val="00333788"/>
    <w:rsid w:val="00334057"/>
    <w:rsid w:val="00334B08"/>
    <w:rsid w:val="003350FC"/>
    <w:rsid w:val="0033555A"/>
    <w:rsid w:val="00335E0B"/>
    <w:rsid w:val="00336005"/>
    <w:rsid w:val="00336F00"/>
    <w:rsid w:val="00337120"/>
    <w:rsid w:val="0033791D"/>
    <w:rsid w:val="00342DB4"/>
    <w:rsid w:val="0034311A"/>
    <w:rsid w:val="00343917"/>
    <w:rsid w:val="003439C3"/>
    <w:rsid w:val="0034672F"/>
    <w:rsid w:val="00346BD7"/>
    <w:rsid w:val="00346C9B"/>
    <w:rsid w:val="0035050E"/>
    <w:rsid w:val="00352A23"/>
    <w:rsid w:val="003531DE"/>
    <w:rsid w:val="00353218"/>
    <w:rsid w:val="00354442"/>
    <w:rsid w:val="003545E8"/>
    <w:rsid w:val="00354D80"/>
    <w:rsid w:val="003550F4"/>
    <w:rsid w:val="00355DEF"/>
    <w:rsid w:val="0035620A"/>
    <w:rsid w:val="003576A3"/>
    <w:rsid w:val="0036018C"/>
    <w:rsid w:val="00361EFE"/>
    <w:rsid w:val="003626A2"/>
    <w:rsid w:val="003628F3"/>
    <w:rsid w:val="00363A2E"/>
    <w:rsid w:val="00363CF4"/>
    <w:rsid w:val="003649BD"/>
    <w:rsid w:val="00364B65"/>
    <w:rsid w:val="00364B81"/>
    <w:rsid w:val="003666B3"/>
    <w:rsid w:val="00367F22"/>
    <w:rsid w:val="0037117C"/>
    <w:rsid w:val="00372FC5"/>
    <w:rsid w:val="00374330"/>
    <w:rsid w:val="00375891"/>
    <w:rsid w:val="00382397"/>
    <w:rsid w:val="00382554"/>
    <w:rsid w:val="003839FF"/>
    <w:rsid w:val="00386C0D"/>
    <w:rsid w:val="00386D08"/>
    <w:rsid w:val="003878B2"/>
    <w:rsid w:val="00390114"/>
    <w:rsid w:val="00391983"/>
    <w:rsid w:val="0039257B"/>
    <w:rsid w:val="0039352B"/>
    <w:rsid w:val="00394C8F"/>
    <w:rsid w:val="00395268"/>
    <w:rsid w:val="003A1DE1"/>
    <w:rsid w:val="003A4974"/>
    <w:rsid w:val="003B049B"/>
    <w:rsid w:val="003B2642"/>
    <w:rsid w:val="003B4FF4"/>
    <w:rsid w:val="003B603E"/>
    <w:rsid w:val="003B7E21"/>
    <w:rsid w:val="003C0721"/>
    <w:rsid w:val="003C11AB"/>
    <w:rsid w:val="003C3E2E"/>
    <w:rsid w:val="003C53DC"/>
    <w:rsid w:val="003C56EE"/>
    <w:rsid w:val="003C58C3"/>
    <w:rsid w:val="003C63B9"/>
    <w:rsid w:val="003D0661"/>
    <w:rsid w:val="003D101C"/>
    <w:rsid w:val="003D1539"/>
    <w:rsid w:val="003D2F98"/>
    <w:rsid w:val="003D31C3"/>
    <w:rsid w:val="003D447A"/>
    <w:rsid w:val="003D4EDF"/>
    <w:rsid w:val="003D64F7"/>
    <w:rsid w:val="003D6F63"/>
    <w:rsid w:val="003E1813"/>
    <w:rsid w:val="003E3583"/>
    <w:rsid w:val="003E7D90"/>
    <w:rsid w:val="003F012A"/>
    <w:rsid w:val="003F0B87"/>
    <w:rsid w:val="003F111F"/>
    <w:rsid w:val="003F1333"/>
    <w:rsid w:val="003F15E6"/>
    <w:rsid w:val="003F3F94"/>
    <w:rsid w:val="003F6A42"/>
    <w:rsid w:val="00400453"/>
    <w:rsid w:val="0040122B"/>
    <w:rsid w:val="004029EE"/>
    <w:rsid w:val="004050E1"/>
    <w:rsid w:val="00406DAF"/>
    <w:rsid w:val="004073CD"/>
    <w:rsid w:val="00407AEE"/>
    <w:rsid w:val="00412659"/>
    <w:rsid w:val="0041507B"/>
    <w:rsid w:val="004173E7"/>
    <w:rsid w:val="00420248"/>
    <w:rsid w:val="0042043C"/>
    <w:rsid w:val="0042269B"/>
    <w:rsid w:val="00422B56"/>
    <w:rsid w:val="0042323D"/>
    <w:rsid w:val="004234E4"/>
    <w:rsid w:val="00424821"/>
    <w:rsid w:val="00424AEB"/>
    <w:rsid w:val="00426D8F"/>
    <w:rsid w:val="004273C1"/>
    <w:rsid w:val="00430A59"/>
    <w:rsid w:val="004313A1"/>
    <w:rsid w:val="004324E2"/>
    <w:rsid w:val="004330CB"/>
    <w:rsid w:val="004360AF"/>
    <w:rsid w:val="0043749A"/>
    <w:rsid w:val="00442AEF"/>
    <w:rsid w:val="00443457"/>
    <w:rsid w:val="00443C9A"/>
    <w:rsid w:val="0044425E"/>
    <w:rsid w:val="0044493F"/>
    <w:rsid w:val="00444973"/>
    <w:rsid w:val="00445EC8"/>
    <w:rsid w:val="004468A0"/>
    <w:rsid w:val="0044691D"/>
    <w:rsid w:val="004471D2"/>
    <w:rsid w:val="00450CCB"/>
    <w:rsid w:val="0045133E"/>
    <w:rsid w:val="00451E41"/>
    <w:rsid w:val="00453A22"/>
    <w:rsid w:val="00455633"/>
    <w:rsid w:val="004579B1"/>
    <w:rsid w:val="00461B20"/>
    <w:rsid w:val="00463155"/>
    <w:rsid w:val="00463CFC"/>
    <w:rsid w:val="0046401F"/>
    <w:rsid w:val="004642F5"/>
    <w:rsid w:val="00464A8B"/>
    <w:rsid w:val="00465666"/>
    <w:rsid w:val="00466B3A"/>
    <w:rsid w:val="00466CA5"/>
    <w:rsid w:val="004674EA"/>
    <w:rsid w:val="0046777D"/>
    <w:rsid w:val="00467DF3"/>
    <w:rsid w:val="0047080B"/>
    <w:rsid w:val="00470C95"/>
    <w:rsid w:val="0047200C"/>
    <w:rsid w:val="004750F0"/>
    <w:rsid w:val="004764A8"/>
    <w:rsid w:val="0047743A"/>
    <w:rsid w:val="0048035A"/>
    <w:rsid w:val="0048107F"/>
    <w:rsid w:val="00481DA7"/>
    <w:rsid w:val="00482892"/>
    <w:rsid w:val="00483804"/>
    <w:rsid w:val="00484581"/>
    <w:rsid w:val="00486117"/>
    <w:rsid w:val="0048718F"/>
    <w:rsid w:val="00487F8B"/>
    <w:rsid w:val="00490227"/>
    <w:rsid w:val="00490B59"/>
    <w:rsid w:val="00490E5A"/>
    <w:rsid w:val="00492367"/>
    <w:rsid w:val="00493026"/>
    <w:rsid w:val="00493B99"/>
    <w:rsid w:val="00497972"/>
    <w:rsid w:val="004A013C"/>
    <w:rsid w:val="004A049A"/>
    <w:rsid w:val="004A04E4"/>
    <w:rsid w:val="004A28C5"/>
    <w:rsid w:val="004A44F0"/>
    <w:rsid w:val="004A7AC9"/>
    <w:rsid w:val="004B0505"/>
    <w:rsid w:val="004B246D"/>
    <w:rsid w:val="004B2DEB"/>
    <w:rsid w:val="004B51DD"/>
    <w:rsid w:val="004B6F83"/>
    <w:rsid w:val="004C0E6E"/>
    <w:rsid w:val="004C2CB8"/>
    <w:rsid w:val="004C4448"/>
    <w:rsid w:val="004C4CC1"/>
    <w:rsid w:val="004C6961"/>
    <w:rsid w:val="004C7644"/>
    <w:rsid w:val="004D5663"/>
    <w:rsid w:val="004D60FA"/>
    <w:rsid w:val="004D6131"/>
    <w:rsid w:val="004D76AD"/>
    <w:rsid w:val="004E0792"/>
    <w:rsid w:val="004E0EEE"/>
    <w:rsid w:val="004E1213"/>
    <w:rsid w:val="004E1886"/>
    <w:rsid w:val="004E4927"/>
    <w:rsid w:val="004E4E2C"/>
    <w:rsid w:val="004E66BC"/>
    <w:rsid w:val="004E776A"/>
    <w:rsid w:val="004F24CF"/>
    <w:rsid w:val="004F2FEE"/>
    <w:rsid w:val="004F5181"/>
    <w:rsid w:val="004F52AB"/>
    <w:rsid w:val="004F5931"/>
    <w:rsid w:val="004F60E3"/>
    <w:rsid w:val="004F65BE"/>
    <w:rsid w:val="00502F0D"/>
    <w:rsid w:val="0050366B"/>
    <w:rsid w:val="00504A49"/>
    <w:rsid w:val="00504AAD"/>
    <w:rsid w:val="00512499"/>
    <w:rsid w:val="00512818"/>
    <w:rsid w:val="005142F7"/>
    <w:rsid w:val="00514404"/>
    <w:rsid w:val="0051704D"/>
    <w:rsid w:val="00517698"/>
    <w:rsid w:val="00520C2A"/>
    <w:rsid w:val="005220F8"/>
    <w:rsid w:val="00522DD7"/>
    <w:rsid w:val="00524857"/>
    <w:rsid w:val="00525244"/>
    <w:rsid w:val="00527AA3"/>
    <w:rsid w:val="005316CF"/>
    <w:rsid w:val="0053749B"/>
    <w:rsid w:val="005417C4"/>
    <w:rsid w:val="00541D41"/>
    <w:rsid w:val="005427B7"/>
    <w:rsid w:val="00542F6A"/>
    <w:rsid w:val="005431B4"/>
    <w:rsid w:val="005509B4"/>
    <w:rsid w:val="00550A18"/>
    <w:rsid w:val="00550E26"/>
    <w:rsid w:val="005531CC"/>
    <w:rsid w:val="005559F0"/>
    <w:rsid w:val="005608E7"/>
    <w:rsid w:val="00563D0E"/>
    <w:rsid w:val="005649C7"/>
    <w:rsid w:val="0056612C"/>
    <w:rsid w:val="00566151"/>
    <w:rsid w:val="00566B5A"/>
    <w:rsid w:val="00571FC6"/>
    <w:rsid w:val="00574F92"/>
    <w:rsid w:val="00580112"/>
    <w:rsid w:val="005814CD"/>
    <w:rsid w:val="00581F2E"/>
    <w:rsid w:val="00582A1C"/>
    <w:rsid w:val="00584C75"/>
    <w:rsid w:val="00586B4B"/>
    <w:rsid w:val="00587A50"/>
    <w:rsid w:val="005921A7"/>
    <w:rsid w:val="005A07ED"/>
    <w:rsid w:val="005A6F9D"/>
    <w:rsid w:val="005B0133"/>
    <w:rsid w:val="005B264A"/>
    <w:rsid w:val="005B392A"/>
    <w:rsid w:val="005B3AB8"/>
    <w:rsid w:val="005B3D79"/>
    <w:rsid w:val="005B4910"/>
    <w:rsid w:val="005B5586"/>
    <w:rsid w:val="005B59B3"/>
    <w:rsid w:val="005C04E1"/>
    <w:rsid w:val="005C196B"/>
    <w:rsid w:val="005C5969"/>
    <w:rsid w:val="005D28EA"/>
    <w:rsid w:val="005D3810"/>
    <w:rsid w:val="005D45FC"/>
    <w:rsid w:val="005D5825"/>
    <w:rsid w:val="005D59DE"/>
    <w:rsid w:val="005D6113"/>
    <w:rsid w:val="005D6E7D"/>
    <w:rsid w:val="005D7160"/>
    <w:rsid w:val="005E496D"/>
    <w:rsid w:val="005E5743"/>
    <w:rsid w:val="005E634D"/>
    <w:rsid w:val="005E6CC0"/>
    <w:rsid w:val="005F1B8E"/>
    <w:rsid w:val="005F24AE"/>
    <w:rsid w:val="005F24F2"/>
    <w:rsid w:val="005F38A0"/>
    <w:rsid w:val="005F3A9A"/>
    <w:rsid w:val="005F4EF7"/>
    <w:rsid w:val="005F6DDF"/>
    <w:rsid w:val="005F7592"/>
    <w:rsid w:val="0060005E"/>
    <w:rsid w:val="00600B80"/>
    <w:rsid w:val="0060259B"/>
    <w:rsid w:val="00603A3B"/>
    <w:rsid w:val="00611650"/>
    <w:rsid w:val="006133DE"/>
    <w:rsid w:val="00613B37"/>
    <w:rsid w:val="00614CE8"/>
    <w:rsid w:val="00615EC1"/>
    <w:rsid w:val="0061698A"/>
    <w:rsid w:val="00616C80"/>
    <w:rsid w:val="006171E7"/>
    <w:rsid w:val="006173D9"/>
    <w:rsid w:val="00620379"/>
    <w:rsid w:val="00620384"/>
    <w:rsid w:val="006207B1"/>
    <w:rsid w:val="006227DF"/>
    <w:rsid w:val="00622ADA"/>
    <w:rsid w:val="006239A2"/>
    <w:rsid w:val="00623E19"/>
    <w:rsid w:val="0063086E"/>
    <w:rsid w:val="00631C1F"/>
    <w:rsid w:val="00631E2C"/>
    <w:rsid w:val="006321CD"/>
    <w:rsid w:val="00633931"/>
    <w:rsid w:val="006339AD"/>
    <w:rsid w:val="00634671"/>
    <w:rsid w:val="006353DC"/>
    <w:rsid w:val="006354E3"/>
    <w:rsid w:val="0063618E"/>
    <w:rsid w:val="00641E53"/>
    <w:rsid w:val="00646966"/>
    <w:rsid w:val="006503BD"/>
    <w:rsid w:val="00650438"/>
    <w:rsid w:val="00651516"/>
    <w:rsid w:val="006515C7"/>
    <w:rsid w:val="00652FCE"/>
    <w:rsid w:val="0065440C"/>
    <w:rsid w:val="00654B0A"/>
    <w:rsid w:val="0065500A"/>
    <w:rsid w:val="00655101"/>
    <w:rsid w:val="00656A4A"/>
    <w:rsid w:val="006608A0"/>
    <w:rsid w:val="00661B3D"/>
    <w:rsid w:val="006627BE"/>
    <w:rsid w:val="006687FD"/>
    <w:rsid w:val="006703CF"/>
    <w:rsid w:val="00671A82"/>
    <w:rsid w:val="006724D8"/>
    <w:rsid w:val="00673747"/>
    <w:rsid w:val="006737D1"/>
    <w:rsid w:val="006738ED"/>
    <w:rsid w:val="006779AD"/>
    <w:rsid w:val="00677FE5"/>
    <w:rsid w:val="00680581"/>
    <w:rsid w:val="006907F8"/>
    <w:rsid w:val="00693DD6"/>
    <w:rsid w:val="00695057"/>
    <w:rsid w:val="00696107"/>
    <w:rsid w:val="006A16DD"/>
    <w:rsid w:val="006A2880"/>
    <w:rsid w:val="006A30F3"/>
    <w:rsid w:val="006A430E"/>
    <w:rsid w:val="006A6564"/>
    <w:rsid w:val="006A7FFD"/>
    <w:rsid w:val="006B1343"/>
    <w:rsid w:val="006B2A59"/>
    <w:rsid w:val="006B2F73"/>
    <w:rsid w:val="006B350D"/>
    <w:rsid w:val="006B36DF"/>
    <w:rsid w:val="006C29C0"/>
    <w:rsid w:val="006C3C3A"/>
    <w:rsid w:val="006C4D36"/>
    <w:rsid w:val="006C5388"/>
    <w:rsid w:val="006C555F"/>
    <w:rsid w:val="006C72E2"/>
    <w:rsid w:val="006C7C11"/>
    <w:rsid w:val="006D3E1A"/>
    <w:rsid w:val="006D4A38"/>
    <w:rsid w:val="006D70A7"/>
    <w:rsid w:val="006D7345"/>
    <w:rsid w:val="006D789E"/>
    <w:rsid w:val="006E0695"/>
    <w:rsid w:val="006E0B09"/>
    <w:rsid w:val="006E0B4A"/>
    <w:rsid w:val="006E1B9E"/>
    <w:rsid w:val="006E1E64"/>
    <w:rsid w:val="006E288D"/>
    <w:rsid w:val="006E2FD1"/>
    <w:rsid w:val="006E4921"/>
    <w:rsid w:val="006E5226"/>
    <w:rsid w:val="006F3CCF"/>
    <w:rsid w:val="006F4003"/>
    <w:rsid w:val="006F4CB5"/>
    <w:rsid w:val="006F5100"/>
    <w:rsid w:val="006F63E9"/>
    <w:rsid w:val="006F6BCD"/>
    <w:rsid w:val="006F70B7"/>
    <w:rsid w:val="00700694"/>
    <w:rsid w:val="007016A6"/>
    <w:rsid w:val="007030C9"/>
    <w:rsid w:val="00704125"/>
    <w:rsid w:val="007053D7"/>
    <w:rsid w:val="00706FD4"/>
    <w:rsid w:val="007109CC"/>
    <w:rsid w:val="00710E93"/>
    <w:rsid w:val="007120E3"/>
    <w:rsid w:val="00712267"/>
    <w:rsid w:val="0071380F"/>
    <w:rsid w:val="00714888"/>
    <w:rsid w:val="00715104"/>
    <w:rsid w:val="0071545D"/>
    <w:rsid w:val="0071630B"/>
    <w:rsid w:val="00721E49"/>
    <w:rsid w:val="00722411"/>
    <w:rsid w:val="007319FA"/>
    <w:rsid w:val="00732AEE"/>
    <w:rsid w:val="00732CFB"/>
    <w:rsid w:val="007339B3"/>
    <w:rsid w:val="00733FC0"/>
    <w:rsid w:val="0073498D"/>
    <w:rsid w:val="00734E2B"/>
    <w:rsid w:val="00735AF9"/>
    <w:rsid w:val="007407B9"/>
    <w:rsid w:val="0074130D"/>
    <w:rsid w:val="00742CD2"/>
    <w:rsid w:val="007442D8"/>
    <w:rsid w:val="007447C5"/>
    <w:rsid w:val="00747899"/>
    <w:rsid w:val="00757C74"/>
    <w:rsid w:val="00757ECB"/>
    <w:rsid w:val="0076064B"/>
    <w:rsid w:val="00760DB4"/>
    <w:rsid w:val="00763B69"/>
    <w:rsid w:val="0076450B"/>
    <w:rsid w:val="007666D6"/>
    <w:rsid w:val="0077075A"/>
    <w:rsid w:val="00770EBC"/>
    <w:rsid w:val="007730FC"/>
    <w:rsid w:val="00774156"/>
    <w:rsid w:val="00777C00"/>
    <w:rsid w:val="00780A02"/>
    <w:rsid w:val="007817D4"/>
    <w:rsid w:val="007824BF"/>
    <w:rsid w:val="00782932"/>
    <w:rsid w:val="007833BC"/>
    <w:rsid w:val="00784329"/>
    <w:rsid w:val="007843B4"/>
    <w:rsid w:val="007845B7"/>
    <w:rsid w:val="0078479F"/>
    <w:rsid w:val="00786DBB"/>
    <w:rsid w:val="0078796B"/>
    <w:rsid w:val="007903BC"/>
    <w:rsid w:val="007921A5"/>
    <w:rsid w:val="007970B7"/>
    <w:rsid w:val="007972BE"/>
    <w:rsid w:val="007A0F98"/>
    <w:rsid w:val="007A1A77"/>
    <w:rsid w:val="007A3555"/>
    <w:rsid w:val="007A6728"/>
    <w:rsid w:val="007A6C9F"/>
    <w:rsid w:val="007A7439"/>
    <w:rsid w:val="007A7A4A"/>
    <w:rsid w:val="007B04AA"/>
    <w:rsid w:val="007B0750"/>
    <w:rsid w:val="007B177C"/>
    <w:rsid w:val="007B56BF"/>
    <w:rsid w:val="007B7848"/>
    <w:rsid w:val="007B7BA3"/>
    <w:rsid w:val="007C0F01"/>
    <w:rsid w:val="007C1485"/>
    <w:rsid w:val="007C16EF"/>
    <w:rsid w:val="007C2AEE"/>
    <w:rsid w:val="007C366E"/>
    <w:rsid w:val="007C3F67"/>
    <w:rsid w:val="007C5471"/>
    <w:rsid w:val="007C5594"/>
    <w:rsid w:val="007C5C98"/>
    <w:rsid w:val="007C7A7B"/>
    <w:rsid w:val="007D0E55"/>
    <w:rsid w:val="007D1B5B"/>
    <w:rsid w:val="007D5613"/>
    <w:rsid w:val="007D5894"/>
    <w:rsid w:val="007D7B32"/>
    <w:rsid w:val="007E1AE7"/>
    <w:rsid w:val="007E36D4"/>
    <w:rsid w:val="007E3785"/>
    <w:rsid w:val="007E5592"/>
    <w:rsid w:val="007F00E9"/>
    <w:rsid w:val="007F0B6D"/>
    <w:rsid w:val="007F0F24"/>
    <w:rsid w:val="007F1241"/>
    <w:rsid w:val="007F2D79"/>
    <w:rsid w:val="007F6623"/>
    <w:rsid w:val="00800735"/>
    <w:rsid w:val="0080294B"/>
    <w:rsid w:val="008051FB"/>
    <w:rsid w:val="008062C6"/>
    <w:rsid w:val="00806D55"/>
    <w:rsid w:val="008102B6"/>
    <w:rsid w:val="00814173"/>
    <w:rsid w:val="0081485C"/>
    <w:rsid w:val="0081642B"/>
    <w:rsid w:val="00816739"/>
    <w:rsid w:val="008173B0"/>
    <w:rsid w:val="0082073D"/>
    <w:rsid w:val="00820EF1"/>
    <w:rsid w:val="00821844"/>
    <w:rsid w:val="00823D11"/>
    <w:rsid w:val="00824337"/>
    <w:rsid w:val="00826163"/>
    <w:rsid w:val="00827388"/>
    <w:rsid w:val="00827D72"/>
    <w:rsid w:val="00827F38"/>
    <w:rsid w:val="0083064B"/>
    <w:rsid w:val="008321C6"/>
    <w:rsid w:val="0083258B"/>
    <w:rsid w:val="00832B4A"/>
    <w:rsid w:val="00834685"/>
    <w:rsid w:val="0083590B"/>
    <w:rsid w:val="00835B79"/>
    <w:rsid w:val="00836179"/>
    <w:rsid w:val="0083753B"/>
    <w:rsid w:val="008402CB"/>
    <w:rsid w:val="00841EAB"/>
    <w:rsid w:val="00841F3F"/>
    <w:rsid w:val="008424D6"/>
    <w:rsid w:val="00844CB3"/>
    <w:rsid w:val="00846B5E"/>
    <w:rsid w:val="00854197"/>
    <w:rsid w:val="00854B43"/>
    <w:rsid w:val="00855122"/>
    <w:rsid w:val="00856621"/>
    <w:rsid w:val="00857735"/>
    <w:rsid w:val="00861555"/>
    <w:rsid w:val="00864E9D"/>
    <w:rsid w:val="00866FC0"/>
    <w:rsid w:val="008677A7"/>
    <w:rsid w:val="00871165"/>
    <w:rsid w:val="008712A7"/>
    <w:rsid w:val="00871A64"/>
    <w:rsid w:val="0087490E"/>
    <w:rsid w:val="008762A1"/>
    <w:rsid w:val="00877CF0"/>
    <w:rsid w:val="0088023A"/>
    <w:rsid w:val="00881611"/>
    <w:rsid w:val="00884928"/>
    <w:rsid w:val="00884E29"/>
    <w:rsid w:val="008871D6"/>
    <w:rsid w:val="008879A6"/>
    <w:rsid w:val="00890638"/>
    <w:rsid w:val="00890F7F"/>
    <w:rsid w:val="00893EBB"/>
    <w:rsid w:val="00894516"/>
    <w:rsid w:val="0089462D"/>
    <w:rsid w:val="0089500A"/>
    <w:rsid w:val="00896CCF"/>
    <w:rsid w:val="008974D9"/>
    <w:rsid w:val="008976A8"/>
    <w:rsid w:val="008A07DA"/>
    <w:rsid w:val="008A171E"/>
    <w:rsid w:val="008A1745"/>
    <w:rsid w:val="008A6172"/>
    <w:rsid w:val="008A67BC"/>
    <w:rsid w:val="008A6E0C"/>
    <w:rsid w:val="008B2EB5"/>
    <w:rsid w:val="008B5D72"/>
    <w:rsid w:val="008B7FD1"/>
    <w:rsid w:val="008C0ACA"/>
    <w:rsid w:val="008C164B"/>
    <w:rsid w:val="008C1B51"/>
    <w:rsid w:val="008C1B84"/>
    <w:rsid w:val="008C283E"/>
    <w:rsid w:val="008C2BAE"/>
    <w:rsid w:val="008C3A25"/>
    <w:rsid w:val="008C3B3F"/>
    <w:rsid w:val="008C4C08"/>
    <w:rsid w:val="008C651E"/>
    <w:rsid w:val="008D115A"/>
    <w:rsid w:val="008D192C"/>
    <w:rsid w:val="008D2A5B"/>
    <w:rsid w:val="008D2F71"/>
    <w:rsid w:val="008D434B"/>
    <w:rsid w:val="008D49D2"/>
    <w:rsid w:val="008E20C0"/>
    <w:rsid w:val="008E3185"/>
    <w:rsid w:val="008E4593"/>
    <w:rsid w:val="008E638B"/>
    <w:rsid w:val="008F0A24"/>
    <w:rsid w:val="008F1D3E"/>
    <w:rsid w:val="008F1E62"/>
    <w:rsid w:val="008F2041"/>
    <w:rsid w:val="008F3278"/>
    <w:rsid w:val="008F46C6"/>
    <w:rsid w:val="008F48E1"/>
    <w:rsid w:val="008F494B"/>
    <w:rsid w:val="008F5EC3"/>
    <w:rsid w:val="00900934"/>
    <w:rsid w:val="00902459"/>
    <w:rsid w:val="0090279D"/>
    <w:rsid w:val="00902814"/>
    <w:rsid w:val="00903A82"/>
    <w:rsid w:val="00905C25"/>
    <w:rsid w:val="009065D4"/>
    <w:rsid w:val="00906684"/>
    <w:rsid w:val="0090688B"/>
    <w:rsid w:val="009070BF"/>
    <w:rsid w:val="0091005B"/>
    <w:rsid w:val="0091168A"/>
    <w:rsid w:val="00911E72"/>
    <w:rsid w:val="009123B7"/>
    <w:rsid w:val="00914CC7"/>
    <w:rsid w:val="00916651"/>
    <w:rsid w:val="009200AA"/>
    <w:rsid w:val="00922591"/>
    <w:rsid w:val="009228FE"/>
    <w:rsid w:val="00922970"/>
    <w:rsid w:val="00926718"/>
    <w:rsid w:val="00927585"/>
    <w:rsid w:val="00932070"/>
    <w:rsid w:val="00932CE8"/>
    <w:rsid w:val="00933460"/>
    <w:rsid w:val="00933F77"/>
    <w:rsid w:val="00935F38"/>
    <w:rsid w:val="00940AB6"/>
    <w:rsid w:val="00941446"/>
    <w:rsid w:val="009415AB"/>
    <w:rsid w:val="00941BF5"/>
    <w:rsid w:val="009425B5"/>
    <w:rsid w:val="00942CD6"/>
    <w:rsid w:val="00942DDC"/>
    <w:rsid w:val="00943EE2"/>
    <w:rsid w:val="00944319"/>
    <w:rsid w:val="00944343"/>
    <w:rsid w:val="009450BC"/>
    <w:rsid w:val="0094572C"/>
    <w:rsid w:val="009509E7"/>
    <w:rsid w:val="009511F5"/>
    <w:rsid w:val="0095193E"/>
    <w:rsid w:val="009541C2"/>
    <w:rsid w:val="00956A16"/>
    <w:rsid w:val="00957E47"/>
    <w:rsid w:val="00962E64"/>
    <w:rsid w:val="00963724"/>
    <w:rsid w:val="00963F88"/>
    <w:rsid w:val="00964A76"/>
    <w:rsid w:val="0096515F"/>
    <w:rsid w:val="00965DCC"/>
    <w:rsid w:val="00966766"/>
    <w:rsid w:val="00974CFE"/>
    <w:rsid w:val="00976601"/>
    <w:rsid w:val="00977834"/>
    <w:rsid w:val="00980DFB"/>
    <w:rsid w:val="00982314"/>
    <w:rsid w:val="009846C0"/>
    <w:rsid w:val="009847ED"/>
    <w:rsid w:val="00985756"/>
    <w:rsid w:val="00986C7C"/>
    <w:rsid w:val="009909F2"/>
    <w:rsid w:val="009915DE"/>
    <w:rsid w:val="00991C0D"/>
    <w:rsid w:val="00992308"/>
    <w:rsid w:val="0099266A"/>
    <w:rsid w:val="00997677"/>
    <w:rsid w:val="009A1952"/>
    <w:rsid w:val="009A2687"/>
    <w:rsid w:val="009A2C23"/>
    <w:rsid w:val="009A7C01"/>
    <w:rsid w:val="009ABFE5"/>
    <w:rsid w:val="009B74B8"/>
    <w:rsid w:val="009C0EFE"/>
    <w:rsid w:val="009C3527"/>
    <w:rsid w:val="009C717A"/>
    <w:rsid w:val="009C96E2"/>
    <w:rsid w:val="009D0D69"/>
    <w:rsid w:val="009D0FEF"/>
    <w:rsid w:val="009D14D9"/>
    <w:rsid w:val="009D27CF"/>
    <w:rsid w:val="009D3010"/>
    <w:rsid w:val="009D698F"/>
    <w:rsid w:val="009E15C1"/>
    <w:rsid w:val="009E5629"/>
    <w:rsid w:val="009E73B4"/>
    <w:rsid w:val="009F017A"/>
    <w:rsid w:val="009F107C"/>
    <w:rsid w:val="009F461B"/>
    <w:rsid w:val="009F5B16"/>
    <w:rsid w:val="009F5EC4"/>
    <w:rsid w:val="00A03AE3"/>
    <w:rsid w:val="00A11B1F"/>
    <w:rsid w:val="00A1204E"/>
    <w:rsid w:val="00A12240"/>
    <w:rsid w:val="00A13230"/>
    <w:rsid w:val="00A13A52"/>
    <w:rsid w:val="00A142E2"/>
    <w:rsid w:val="00A14C9B"/>
    <w:rsid w:val="00A22D3F"/>
    <w:rsid w:val="00A23394"/>
    <w:rsid w:val="00A248A7"/>
    <w:rsid w:val="00A24DA3"/>
    <w:rsid w:val="00A25058"/>
    <w:rsid w:val="00A2558C"/>
    <w:rsid w:val="00A26055"/>
    <w:rsid w:val="00A26CBF"/>
    <w:rsid w:val="00A35F41"/>
    <w:rsid w:val="00A361D9"/>
    <w:rsid w:val="00A366E9"/>
    <w:rsid w:val="00A36B50"/>
    <w:rsid w:val="00A41CD2"/>
    <w:rsid w:val="00A441D1"/>
    <w:rsid w:val="00A46D3B"/>
    <w:rsid w:val="00A47469"/>
    <w:rsid w:val="00A47E42"/>
    <w:rsid w:val="00A5207A"/>
    <w:rsid w:val="00A574DA"/>
    <w:rsid w:val="00A6227C"/>
    <w:rsid w:val="00A623D7"/>
    <w:rsid w:val="00A63D53"/>
    <w:rsid w:val="00A649D5"/>
    <w:rsid w:val="00A704F4"/>
    <w:rsid w:val="00A7246B"/>
    <w:rsid w:val="00A7338E"/>
    <w:rsid w:val="00A76254"/>
    <w:rsid w:val="00A779B0"/>
    <w:rsid w:val="00A80336"/>
    <w:rsid w:val="00A80AEF"/>
    <w:rsid w:val="00A827EB"/>
    <w:rsid w:val="00A83587"/>
    <w:rsid w:val="00A85C33"/>
    <w:rsid w:val="00A85E0F"/>
    <w:rsid w:val="00A87274"/>
    <w:rsid w:val="00A87B72"/>
    <w:rsid w:val="00A90951"/>
    <w:rsid w:val="00A91B2D"/>
    <w:rsid w:val="00A91F45"/>
    <w:rsid w:val="00A9455B"/>
    <w:rsid w:val="00A96C72"/>
    <w:rsid w:val="00A9700E"/>
    <w:rsid w:val="00A97E19"/>
    <w:rsid w:val="00AA3300"/>
    <w:rsid w:val="00AA3671"/>
    <w:rsid w:val="00AA3726"/>
    <w:rsid w:val="00AA4E0A"/>
    <w:rsid w:val="00AA5632"/>
    <w:rsid w:val="00AA5AA7"/>
    <w:rsid w:val="00AA72BA"/>
    <w:rsid w:val="00AA78AB"/>
    <w:rsid w:val="00AA7A53"/>
    <w:rsid w:val="00AB09A4"/>
    <w:rsid w:val="00AB29E1"/>
    <w:rsid w:val="00AB355E"/>
    <w:rsid w:val="00AB5D7F"/>
    <w:rsid w:val="00AB7355"/>
    <w:rsid w:val="00AB7429"/>
    <w:rsid w:val="00AC00F1"/>
    <w:rsid w:val="00AC04F8"/>
    <w:rsid w:val="00AC1223"/>
    <w:rsid w:val="00AC4845"/>
    <w:rsid w:val="00AC4CA7"/>
    <w:rsid w:val="00AC503E"/>
    <w:rsid w:val="00AC50E7"/>
    <w:rsid w:val="00AD0BD4"/>
    <w:rsid w:val="00AD0FCE"/>
    <w:rsid w:val="00AD2131"/>
    <w:rsid w:val="00AD2877"/>
    <w:rsid w:val="00AD2D32"/>
    <w:rsid w:val="00AD3FD8"/>
    <w:rsid w:val="00AD4913"/>
    <w:rsid w:val="00AD4AA1"/>
    <w:rsid w:val="00AD4B38"/>
    <w:rsid w:val="00AD4DA0"/>
    <w:rsid w:val="00AD5655"/>
    <w:rsid w:val="00AD5B20"/>
    <w:rsid w:val="00AD6FFC"/>
    <w:rsid w:val="00AD7F59"/>
    <w:rsid w:val="00AE0F7D"/>
    <w:rsid w:val="00AE3CD8"/>
    <w:rsid w:val="00AE5104"/>
    <w:rsid w:val="00AE601D"/>
    <w:rsid w:val="00AE6389"/>
    <w:rsid w:val="00AE67AB"/>
    <w:rsid w:val="00AE6DF1"/>
    <w:rsid w:val="00AF03C9"/>
    <w:rsid w:val="00AF0D04"/>
    <w:rsid w:val="00AF103D"/>
    <w:rsid w:val="00AF148B"/>
    <w:rsid w:val="00AF2B49"/>
    <w:rsid w:val="00AF4970"/>
    <w:rsid w:val="00AF6CB2"/>
    <w:rsid w:val="00B01571"/>
    <w:rsid w:val="00B01A34"/>
    <w:rsid w:val="00B01E60"/>
    <w:rsid w:val="00B038D4"/>
    <w:rsid w:val="00B03B24"/>
    <w:rsid w:val="00B03BEC"/>
    <w:rsid w:val="00B03D0E"/>
    <w:rsid w:val="00B0490F"/>
    <w:rsid w:val="00B053DE"/>
    <w:rsid w:val="00B0567E"/>
    <w:rsid w:val="00B10BF5"/>
    <w:rsid w:val="00B11E7F"/>
    <w:rsid w:val="00B122AA"/>
    <w:rsid w:val="00B14090"/>
    <w:rsid w:val="00B15810"/>
    <w:rsid w:val="00B165E7"/>
    <w:rsid w:val="00B17CC3"/>
    <w:rsid w:val="00B2069C"/>
    <w:rsid w:val="00B217EB"/>
    <w:rsid w:val="00B22360"/>
    <w:rsid w:val="00B22894"/>
    <w:rsid w:val="00B2339E"/>
    <w:rsid w:val="00B24EBD"/>
    <w:rsid w:val="00B25D97"/>
    <w:rsid w:val="00B27EAF"/>
    <w:rsid w:val="00B3197D"/>
    <w:rsid w:val="00B320CD"/>
    <w:rsid w:val="00B33052"/>
    <w:rsid w:val="00B371F2"/>
    <w:rsid w:val="00B37639"/>
    <w:rsid w:val="00B4323B"/>
    <w:rsid w:val="00B43808"/>
    <w:rsid w:val="00B438FC"/>
    <w:rsid w:val="00B4520F"/>
    <w:rsid w:val="00B46E3C"/>
    <w:rsid w:val="00B52947"/>
    <w:rsid w:val="00B60177"/>
    <w:rsid w:val="00B61129"/>
    <w:rsid w:val="00B61B68"/>
    <w:rsid w:val="00B6477E"/>
    <w:rsid w:val="00B66690"/>
    <w:rsid w:val="00B66A61"/>
    <w:rsid w:val="00B708E9"/>
    <w:rsid w:val="00B722C9"/>
    <w:rsid w:val="00B739F0"/>
    <w:rsid w:val="00B73C5F"/>
    <w:rsid w:val="00B75155"/>
    <w:rsid w:val="00B808BF"/>
    <w:rsid w:val="00B80B72"/>
    <w:rsid w:val="00B80D71"/>
    <w:rsid w:val="00B822F9"/>
    <w:rsid w:val="00B82353"/>
    <w:rsid w:val="00B82FE3"/>
    <w:rsid w:val="00B84664"/>
    <w:rsid w:val="00B86D95"/>
    <w:rsid w:val="00B9006C"/>
    <w:rsid w:val="00B9372D"/>
    <w:rsid w:val="00B93C38"/>
    <w:rsid w:val="00B93E3B"/>
    <w:rsid w:val="00B9535E"/>
    <w:rsid w:val="00B97101"/>
    <w:rsid w:val="00B9721D"/>
    <w:rsid w:val="00B97FC6"/>
    <w:rsid w:val="00BA19B7"/>
    <w:rsid w:val="00BA22E3"/>
    <w:rsid w:val="00BA2870"/>
    <w:rsid w:val="00BA42DA"/>
    <w:rsid w:val="00BA5F1A"/>
    <w:rsid w:val="00BA6507"/>
    <w:rsid w:val="00BA744C"/>
    <w:rsid w:val="00BB0561"/>
    <w:rsid w:val="00BB11D6"/>
    <w:rsid w:val="00BB434F"/>
    <w:rsid w:val="00BB5DBD"/>
    <w:rsid w:val="00BB60DB"/>
    <w:rsid w:val="00BC0980"/>
    <w:rsid w:val="00BC107D"/>
    <w:rsid w:val="00BC13B8"/>
    <w:rsid w:val="00BC3504"/>
    <w:rsid w:val="00BC4EA8"/>
    <w:rsid w:val="00BC51D7"/>
    <w:rsid w:val="00BC6498"/>
    <w:rsid w:val="00BC6C3D"/>
    <w:rsid w:val="00BC7930"/>
    <w:rsid w:val="00BC7B41"/>
    <w:rsid w:val="00BD14A7"/>
    <w:rsid w:val="00BD517B"/>
    <w:rsid w:val="00BD78D8"/>
    <w:rsid w:val="00BE48F0"/>
    <w:rsid w:val="00BE5935"/>
    <w:rsid w:val="00BE6F70"/>
    <w:rsid w:val="00BE7905"/>
    <w:rsid w:val="00BE796F"/>
    <w:rsid w:val="00BF4FF9"/>
    <w:rsid w:val="00BF688A"/>
    <w:rsid w:val="00C024F8"/>
    <w:rsid w:val="00C03719"/>
    <w:rsid w:val="00C03C9A"/>
    <w:rsid w:val="00C068C8"/>
    <w:rsid w:val="00C078AE"/>
    <w:rsid w:val="00C07DA8"/>
    <w:rsid w:val="00C07DB3"/>
    <w:rsid w:val="00C120D6"/>
    <w:rsid w:val="00C126E8"/>
    <w:rsid w:val="00C1315A"/>
    <w:rsid w:val="00C14830"/>
    <w:rsid w:val="00C149CF"/>
    <w:rsid w:val="00C1574A"/>
    <w:rsid w:val="00C16A9E"/>
    <w:rsid w:val="00C200EB"/>
    <w:rsid w:val="00C20DC5"/>
    <w:rsid w:val="00C21BAD"/>
    <w:rsid w:val="00C22780"/>
    <w:rsid w:val="00C22957"/>
    <w:rsid w:val="00C23FDF"/>
    <w:rsid w:val="00C24428"/>
    <w:rsid w:val="00C26D20"/>
    <w:rsid w:val="00C30C88"/>
    <w:rsid w:val="00C34286"/>
    <w:rsid w:val="00C37394"/>
    <w:rsid w:val="00C40F69"/>
    <w:rsid w:val="00C43B57"/>
    <w:rsid w:val="00C44F39"/>
    <w:rsid w:val="00C462D2"/>
    <w:rsid w:val="00C535B3"/>
    <w:rsid w:val="00C55072"/>
    <w:rsid w:val="00C552CE"/>
    <w:rsid w:val="00C57C3C"/>
    <w:rsid w:val="00C6054B"/>
    <w:rsid w:val="00C633A3"/>
    <w:rsid w:val="00C63515"/>
    <w:rsid w:val="00C63996"/>
    <w:rsid w:val="00C64E94"/>
    <w:rsid w:val="00C65B4C"/>
    <w:rsid w:val="00C666A3"/>
    <w:rsid w:val="00C70930"/>
    <w:rsid w:val="00C74D7E"/>
    <w:rsid w:val="00C755F0"/>
    <w:rsid w:val="00C77F0F"/>
    <w:rsid w:val="00C82773"/>
    <w:rsid w:val="00C82B22"/>
    <w:rsid w:val="00C82D75"/>
    <w:rsid w:val="00C84809"/>
    <w:rsid w:val="00C84994"/>
    <w:rsid w:val="00C8557A"/>
    <w:rsid w:val="00C87818"/>
    <w:rsid w:val="00C91A58"/>
    <w:rsid w:val="00C922FB"/>
    <w:rsid w:val="00C92971"/>
    <w:rsid w:val="00CA1C19"/>
    <w:rsid w:val="00CA2AE2"/>
    <w:rsid w:val="00CA34CA"/>
    <w:rsid w:val="00CA3668"/>
    <w:rsid w:val="00CA3835"/>
    <w:rsid w:val="00CA39B5"/>
    <w:rsid w:val="00CA52F5"/>
    <w:rsid w:val="00CA5530"/>
    <w:rsid w:val="00CA5DC5"/>
    <w:rsid w:val="00CA777E"/>
    <w:rsid w:val="00CB5A44"/>
    <w:rsid w:val="00CC1633"/>
    <w:rsid w:val="00CC1639"/>
    <w:rsid w:val="00CC1668"/>
    <w:rsid w:val="00CC1AC5"/>
    <w:rsid w:val="00CC259B"/>
    <w:rsid w:val="00CC33E0"/>
    <w:rsid w:val="00CC5D03"/>
    <w:rsid w:val="00CC714B"/>
    <w:rsid w:val="00CD05E7"/>
    <w:rsid w:val="00CD24B8"/>
    <w:rsid w:val="00CD4B96"/>
    <w:rsid w:val="00CE0F39"/>
    <w:rsid w:val="00CE422E"/>
    <w:rsid w:val="00CE4A1B"/>
    <w:rsid w:val="00CE539F"/>
    <w:rsid w:val="00CE6E72"/>
    <w:rsid w:val="00CE7571"/>
    <w:rsid w:val="00CE7601"/>
    <w:rsid w:val="00CF25D5"/>
    <w:rsid w:val="00CF343A"/>
    <w:rsid w:val="00CF397A"/>
    <w:rsid w:val="00CF3BB2"/>
    <w:rsid w:val="00CF456F"/>
    <w:rsid w:val="00D01519"/>
    <w:rsid w:val="00D01CA3"/>
    <w:rsid w:val="00D0265D"/>
    <w:rsid w:val="00D03DC4"/>
    <w:rsid w:val="00D04BC5"/>
    <w:rsid w:val="00D10274"/>
    <w:rsid w:val="00D10D68"/>
    <w:rsid w:val="00D114BA"/>
    <w:rsid w:val="00D13A0A"/>
    <w:rsid w:val="00D1454E"/>
    <w:rsid w:val="00D14625"/>
    <w:rsid w:val="00D14DE4"/>
    <w:rsid w:val="00D15385"/>
    <w:rsid w:val="00D167DE"/>
    <w:rsid w:val="00D211E1"/>
    <w:rsid w:val="00D21DDC"/>
    <w:rsid w:val="00D23003"/>
    <w:rsid w:val="00D23763"/>
    <w:rsid w:val="00D24211"/>
    <w:rsid w:val="00D251C9"/>
    <w:rsid w:val="00D30983"/>
    <w:rsid w:val="00D34BFA"/>
    <w:rsid w:val="00D35D74"/>
    <w:rsid w:val="00D36D81"/>
    <w:rsid w:val="00D3767D"/>
    <w:rsid w:val="00D4143A"/>
    <w:rsid w:val="00D421D0"/>
    <w:rsid w:val="00D42290"/>
    <w:rsid w:val="00D4352C"/>
    <w:rsid w:val="00D44890"/>
    <w:rsid w:val="00D45FD6"/>
    <w:rsid w:val="00D51C21"/>
    <w:rsid w:val="00D5384B"/>
    <w:rsid w:val="00D54D79"/>
    <w:rsid w:val="00D57332"/>
    <w:rsid w:val="00D6063A"/>
    <w:rsid w:val="00D60B66"/>
    <w:rsid w:val="00D627CD"/>
    <w:rsid w:val="00D63C8E"/>
    <w:rsid w:val="00D63D44"/>
    <w:rsid w:val="00D65E17"/>
    <w:rsid w:val="00D660DB"/>
    <w:rsid w:val="00D66D10"/>
    <w:rsid w:val="00D723E8"/>
    <w:rsid w:val="00D724B4"/>
    <w:rsid w:val="00D72F4F"/>
    <w:rsid w:val="00D74211"/>
    <w:rsid w:val="00D777D5"/>
    <w:rsid w:val="00D807EF"/>
    <w:rsid w:val="00D80B5F"/>
    <w:rsid w:val="00D8234D"/>
    <w:rsid w:val="00D823A5"/>
    <w:rsid w:val="00D840CC"/>
    <w:rsid w:val="00D8477F"/>
    <w:rsid w:val="00D87311"/>
    <w:rsid w:val="00D876DC"/>
    <w:rsid w:val="00D9180F"/>
    <w:rsid w:val="00D939FA"/>
    <w:rsid w:val="00D943CE"/>
    <w:rsid w:val="00D94D2B"/>
    <w:rsid w:val="00D95249"/>
    <w:rsid w:val="00D95F64"/>
    <w:rsid w:val="00D96A0A"/>
    <w:rsid w:val="00DA03E4"/>
    <w:rsid w:val="00DA2F77"/>
    <w:rsid w:val="00DA35D3"/>
    <w:rsid w:val="00DA54F1"/>
    <w:rsid w:val="00DA68AC"/>
    <w:rsid w:val="00DA77B9"/>
    <w:rsid w:val="00DA7C6C"/>
    <w:rsid w:val="00DB1DEC"/>
    <w:rsid w:val="00DB1E60"/>
    <w:rsid w:val="00DB56B3"/>
    <w:rsid w:val="00DB63D3"/>
    <w:rsid w:val="00DC0F00"/>
    <w:rsid w:val="00DC1CCE"/>
    <w:rsid w:val="00DC2337"/>
    <w:rsid w:val="00DC2698"/>
    <w:rsid w:val="00DC337B"/>
    <w:rsid w:val="00DC62E6"/>
    <w:rsid w:val="00DC71C9"/>
    <w:rsid w:val="00DD13D8"/>
    <w:rsid w:val="00DD1528"/>
    <w:rsid w:val="00DD18E6"/>
    <w:rsid w:val="00DD1A1B"/>
    <w:rsid w:val="00DD2F7B"/>
    <w:rsid w:val="00DD3179"/>
    <w:rsid w:val="00DD3DEE"/>
    <w:rsid w:val="00DD721D"/>
    <w:rsid w:val="00DD7CEE"/>
    <w:rsid w:val="00DE1423"/>
    <w:rsid w:val="00DE19C5"/>
    <w:rsid w:val="00DE2319"/>
    <w:rsid w:val="00DE2CBC"/>
    <w:rsid w:val="00DE2FF8"/>
    <w:rsid w:val="00DE3EB4"/>
    <w:rsid w:val="00DE3F5F"/>
    <w:rsid w:val="00DE4EA8"/>
    <w:rsid w:val="00DE5BB6"/>
    <w:rsid w:val="00DF2639"/>
    <w:rsid w:val="00DF5C37"/>
    <w:rsid w:val="00DF73F6"/>
    <w:rsid w:val="00E02166"/>
    <w:rsid w:val="00E0244A"/>
    <w:rsid w:val="00E07838"/>
    <w:rsid w:val="00E11B9A"/>
    <w:rsid w:val="00E123FD"/>
    <w:rsid w:val="00E12E49"/>
    <w:rsid w:val="00E207F7"/>
    <w:rsid w:val="00E2378A"/>
    <w:rsid w:val="00E270E8"/>
    <w:rsid w:val="00E27CC5"/>
    <w:rsid w:val="00E32A79"/>
    <w:rsid w:val="00E32C1A"/>
    <w:rsid w:val="00E37563"/>
    <w:rsid w:val="00E37AFC"/>
    <w:rsid w:val="00E43619"/>
    <w:rsid w:val="00E44B0A"/>
    <w:rsid w:val="00E46915"/>
    <w:rsid w:val="00E4724A"/>
    <w:rsid w:val="00E565DE"/>
    <w:rsid w:val="00E62003"/>
    <w:rsid w:val="00E62A24"/>
    <w:rsid w:val="00E6367B"/>
    <w:rsid w:val="00E65455"/>
    <w:rsid w:val="00E66427"/>
    <w:rsid w:val="00E6652F"/>
    <w:rsid w:val="00E676B2"/>
    <w:rsid w:val="00E67C6A"/>
    <w:rsid w:val="00E71AB7"/>
    <w:rsid w:val="00E724EF"/>
    <w:rsid w:val="00E72B46"/>
    <w:rsid w:val="00E73374"/>
    <w:rsid w:val="00E73E92"/>
    <w:rsid w:val="00E7554B"/>
    <w:rsid w:val="00E76D95"/>
    <w:rsid w:val="00E76E57"/>
    <w:rsid w:val="00E77E8E"/>
    <w:rsid w:val="00E84937"/>
    <w:rsid w:val="00E85597"/>
    <w:rsid w:val="00E8642F"/>
    <w:rsid w:val="00E86DAC"/>
    <w:rsid w:val="00E90850"/>
    <w:rsid w:val="00E90D75"/>
    <w:rsid w:val="00E922A0"/>
    <w:rsid w:val="00E928C0"/>
    <w:rsid w:val="00E93F6F"/>
    <w:rsid w:val="00E94866"/>
    <w:rsid w:val="00E97094"/>
    <w:rsid w:val="00EA432E"/>
    <w:rsid w:val="00EA4A0A"/>
    <w:rsid w:val="00EB35CF"/>
    <w:rsid w:val="00EB5E9A"/>
    <w:rsid w:val="00EB6E45"/>
    <w:rsid w:val="00EB6F7E"/>
    <w:rsid w:val="00EB7C71"/>
    <w:rsid w:val="00EC204E"/>
    <w:rsid w:val="00EC39B2"/>
    <w:rsid w:val="00EC50BA"/>
    <w:rsid w:val="00EC5922"/>
    <w:rsid w:val="00EC7D5E"/>
    <w:rsid w:val="00ED09B0"/>
    <w:rsid w:val="00ED12D9"/>
    <w:rsid w:val="00ED5319"/>
    <w:rsid w:val="00ED6587"/>
    <w:rsid w:val="00ED6AF7"/>
    <w:rsid w:val="00ED7AE9"/>
    <w:rsid w:val="00EE56F4"/>
    <w:rsid w:val="00EE5CD7"/>
    <w:rsid w:val="00EE5EAD"/>
    <w:rsid w:val="00EE6F09"/>
    <w:rsid w:val="00EE7C5B"/>
    <w:rsid w:val="00EF1450"/>
    <w:rsid w:val="00EF3175"/>
    <w:rsid w:val="00F00C49"/>
    <w:rsid w:val="00F03074"/>
    <w:rsid w:val="00F052A1"/>
    <w:rsid w:val="00F05715"/>
    <w:rsid w:val="00F0694A"/>
    <w:rsid w:val="00F0786A"/>
    <w:rsid w:val="00F11C9F"/>
    <w:rsid w:val="00F11DA9"/>
    <w:rsid w:val="00F12168"/>
    <w:rsid w:val="00F13178"/>
    <w:rsid w:val="00F13400"/>
    <w:rsid w:val="00F13744"/>
    <w:rsid w:val="00F138A3"/>
    <w:rsid w:val="00F13AAF"/>
    <w:rsid w:val="00F23C80"/>
    <w:rsid w:val="00F247E7"/>
    <w:rsid w:val="00F25718"/>
    <w:rsid w:val="00F2624B"/>
    <w:rsid w:val="00F27825"/>
    <w:rsid w:val="00F371B5"/>
    <w:rsid w:val="00F3754D"/>
    <w:rsid w:val="00F37B1D"/>
    <w:rsid w:val="00F4127C"/>
    <w:rsid w:val="00F41BD9"/>
    <w:rsid w:val="00F43716"/>
    <w:rsid w:val="00F4407B"/>
    <w:rsid w:val="00F45312"/>
    <w:rsid w:val="00F466C8"/>
    <w:rsid w:val="00F50320"/>
    <w:rsid w:val="00F50654"/>
    <w:rsid w:val="00F51095"/>
    <w:rsid w:val="00F5184C"/>
    <w:rsid w:val="00F51BFD"/>
    <w:rsid w:val="00F52074"/>
    <w:rsid w:val="00F5207C"/>
    <w:rsid w:val="00F52229"/>
    <w:rsid w:val="00F52D28"/>
    <w:rsid w:val="00F53B8B"/>
    <w:rsid w:val="00F546BC"/>
    <w:rsid w:val="00F550F2"/>
    <w:rsid w:val="00F557FC"/>
    <w:rsid w:val="00F558C7"/>
    <w:rsid w:val="00F56B7E"/>
    <w:rsid w:val="00F61B19"/>
    <w:rsid w:val="00F641CC"/>
    <w:rsid w:val="00F64648"/>
    <w:rsid w:val="00F647F1"/>
    <w:rsid w:val="00F655CE"/>
    <w:rsid w:val="00F66AEC"/>
    <w:rsid w:val="00F76146"/>
    <w:rsid w:val="00F8015E"/>
    <w:rsid w:val="00F802E1"/>
    <w:rsid w:val="00F85CB5"/>
    <w:rsid w:val="00F86692"/>
    <w:rsid w:val="00F8687C"/>
    <w:rsid w:val="00F935F6"/>
    <w:rsid w:val="00F94172"/>
    <w:rsid w:val="00F946A2"/>
    <w:rsid w:val="00F95E57"/>
    <w:rsid w:val="00F96C9B"/>
    <w:rsid w:val="00F96DA2"/>
    <w:rsid w:val="00F97135"/>
    <w:rsid w:val="00FA1BEF"/>
    <w:rsid w:val="00FA4413"/>
    <w:rsid w:val="00FA4DF9"/>
    <w:rsid w:val="00FA6009"/>
    <w:rsid w:val="00FA6165"/>
    <w:rsid w:val="00FA6D1F"/>
    <w:rsid w:val="00FA6EC8"/>
    <w:rsid w:val="00FB1801"/>
    <w:rsid w:val="00FB28D0"/>
    <w:rsid w:val="00FB319E"/>
    <w:rsid w:val="00FB406B"/>
    <w:rsid w:val="00FB6B8A"/>
    <w:rsid w:val="00FB7ED0"/>
    <w:rsid w:val="00FC375E"/>
    <w:rsid w:val="00FC459E"/>
    <w:rsid w:val="00FC6279"/>
    <w:rsid w:val="00FD2039"/>
    <w:rsid w:val="00FD480C"/>
    <w:rsid w:val="00FE44C9"/>
    <w:rsid w:val="00FE46AC"/>
    <w:rsid w:val="00FE61DC"/>
    <w:rsid w:val="00FF285C"/>
    <w:rsid w:val="00FF30BB"/>
    <w:rsid w:val="00FF34BA"/>
    <w:rsid w:val="00FF6A36"/>
    <w:rsid w:val="00FF753D"/>
    <w:rsid w:val="01022D84"/>
    <w:rsid w:val="01034F38"/>
    <w:rsid w:val="010A8180"/>
    <w:rsid w:val="01314254"/>
    <w:rsid w:val="0131A54E"/>
    <w:rsid w:val="0134F73A"/>
    <w:rsid w:val="013B2161"/>
    <w:rsid w:val="0156F447"/>
    <w:rsid w:val="0191B4FC"/>
    <w:rsid w:val="01984D6E"/>
    <w:rsid w:val="01B843A5"/>
    <w:rsid w:val="01C20F49"/>
    <w:rsid w:val="01DF1A50"/>
    <w:rsid w:val="01FDBE93"/>
    <w:rsid w:val="02043C82"/>
    <w:rsid w:val="022D5BB9"/>
    <w:rsid w:val="02390D2C"/>
    <w:rsid w:val="0248A445"/>
    <w:rsid w:val="027F0525"/>
    <w:rsid w:val="02828DD8"/>
    <w:rsid w:val="0287A588"/>
    <w:rsid w:val="028A004D"/>
    <w:rsid w:val="02A1303F"/>
    <w:rsid w:val="02A8FB49"/>
    <w:rsid w:val="02AA26CF"/>
    <w:rsid w:val="030C3775"/>
    <w:rsid w:val="032E5F2F"/>
    <w:rsid w:val="03315981"/>
    <w:rsid w:val="034B3593"/>
    <w:rsid w:val="03503ECD"/>
    <w:rsid w:val="0353D589"/>
    <w:rsid w:val="03657163"/>
    <w:rsid w:val="037BA181"/>
    <w:rsid w:val="0389BC2F"/>
    <w:rsid w:val="03929633"/>
    <w:rsid w:val="03987065"/>
    <w:rsid w:val="03A23760"/>
    <w:rsid w:val="03AEC391"/>
    <w:rsid w:val="03B7C414"/>
    <w:rsid w:val="03BC14E0"/>
    <w:rsid w:val="03D3BB97"/>
    <w:rsid w:val="03D4B331"/>
    <w:rsid w:val="03DE9405"/>
    <w:rsid w:val="0413CC04"/>
    <w:rsid w:val="0441E477"/>
    <w:rsid w:val="0442F608"/>
    <w:rsid w:val="044AF9A1"/>
    <w:rsid w:val="044DF53B"/>
    <w:rsid w:val="048B437B"/>
    <w:rsid w:val="049188A6"/>
    <w:rsid w:val="0495A16A"/>
    <w:rsid w:val="04AE9776"/>
    <w:rsid w:val="04B902B9"/>
    <w:rsid w:val="04C17F3F"/>
    <w:rsid w:val="04C6C6BF"/>
    <w:rsid w:val="04E3016A"/>
    <w:rsid w:val="05140C7F"/>
    <w:rsid w:val="051BF998"/>
    <w:rsid w:val="051FAB76"/>
    <w:rsid w:val="05400451"/>
    <w:rsid w:val="0545CB14"/>
    <w:rsid w:val="055827B9"/>
    <w:rsid w:val="055BE70B"/>
    <w:rsid w:val="0561C3E9"/>
    <w:rsid w:val="056AA3CA"/>
    <w:rsid w:val="0581A759"/>
    <w:rsid w:val="05A58F90"/>
    <w:rsid w:val="05D95604"/>
    <w:rsid w:val="05F8515C"/>
    <w:rsid w:val="065A9352"/>
    <w:rsid w:val="065E22F0"/>
    <w:rsid w:val="066BEB7A"/>
    <w:rsid w:val="0682A78B"/>
    <w:rsid w:val="06BA62D8"/>
    <w:rsid w:val="06E409F7"/>
    <w:rsid w:val="0717C14D"/>
    <w:rsid w:val="07436C2D"/>
    <w:rsid w:val="076B357B"/>
    <w:rsid w:val="07A470BD"/>
    <w:rsid w:val="07BA4AA9"/>
    <w:rsid w:val="07E2ABB6"/>
    <w:rsid w:val="07E47900"/>
    <w:rsid w:val="07ECE116"/>
    <w:rsid w:val="07EF4DDB"/>
    <w:rsid w:val="07FA5BC0"/>
    <w:rsid w:val="081C7D1F"/>
    <w:rsid w:val="08360463"/>
    <w:rsid w:val="084016A2"/>
    <w:rsid w:val="0842AC48"/>
    <w:rsid w:val="084B6320"/>
    <w:rsid w:val="08659FFA"/>
    <w:rsid w:val="0886E814"/>
    <w:rsid w:val="08EDA3F1"/>
    <w:rsid w:val="08F28AD2"/>
    <w:rsid w:val="08F3382A"/>
    <w:rsid w:val="08F9566D"/>
    <w:rsid w:val="08FD1053"/>
    <w:rsid w:val="0912FDA3"/>
    <w:rsid w:val="091911A8"/>
    <w:rsid w:val="097904C2"/>
    <w:rsid w:val="097AD4A7"/>
    <w:rsid w:val="098E9845"/>
    <w:rsid w:val="09966979"/>
    <w:rsid w:val="09C995B4"/>
    <w:rsid w:val="09CE0423"/>
    <w:rsid w:val="09EE1A43"/>
    <w:rsid w:val="09EFDEE2"/>
    <w:rsid w:val="09F4136E"/>
    <w:rsid w:val="0A3B4AA8"/>
    <w:rsid w:val="0A63C94C"/>
    <w:rsid w:val="0A68D931"/>
    <w:rsid w:val="0A6F35A2"/>
    <w:rsid w:val="0A8CB5FB"/>
    <w:rsid w:val="0AC60E8E"/>
    <w:rsid w:val="0ADF7E49"/>
    <w:rsid w:val="0B0264C8"/>
    <w:rsid w:val="0B0E151F"/>
    <w:rsid w:val="0B26EE29"/>
    <w:rsid w:val="0B3A83DC"/>
    <w:rsid w:val="0B60ECC3"/>
    <w:rsid w:val="0B820A63"/>
    <w:rsid w:val="0B865D45"/>
    <w:rsid w:val="0BB5FCC0"/>
    <w:rsid w:val="0BBD7786"/>
    <w:rsid w:val="0BE39857"/>
    <w:rsid w:val="0BEDE684"/>
    <w:rsid w:val="0BF05868"/>
    <w:rsid w:val="0C0973CB"/>
    <w:rsid w:val="0C0D333C"/>
    <w:rsid w:val="0C2F209A"/>
    <w:rsid w:val="0C56C1B2"/>
    <w:rsid w:val="0C9B57A1"/>
    <w:rsid w:val="0CC40335"/>
    <w:rsid w:val="0CC6422F"/>
    <w:rsid w:val="0D009F99"/>
    <w:rsid w:val="0D2F8F7C"/>
    <w:rsid w:val="0D3B18E4"/>
    <w:rsid w:val="0D6E67AF"/>
    <w:rsid w:val="0D7D905C"/>
    <w:rsid w:val="0D8C24A7"/>
    <w:rsid w:val="0D98D3A6"/>
    <w:rsid w:val="0DBD5491"/>
    <w:rsid w:val="0DD54481"/>
    <w:rsid w:val="0DF017BE"/>
    <w:rsid w:val="0E0B390B"/>
    <w:rsid w:val="0E1F2099"/>
    <w:rsid w:val="0E215803"/>
    <w:rsid w:val="0E2478F9"/>
    <w:rsid w:val="0E5074E7"/>
    <w:rsid w:val="0E5A264A"/>
    <w:rsid w:val="0E757362"/>
    <w:rsid w:val="0E81D518"/>
    <w:rsid w:val="0EA762FF"/>
    <w:rsid w:val="0EABC209"/>
    <w:rsid w:val="0EC289AA"/>
    <w:rsid w:val="0ECB6B5E"/>
    <w:rsid w:val="0ECBF50D"/>
    <w:rsid w:val="0EE99E74"/>
    <w:rsid w:val="0EED18D4"/>
    <w:rsid w:val="0EEEFAA6"/>
    <w:rsid w:val="0EFE67D7"/>
    <w:rsid w:val="0F2B9B09"/>
    <w:rsid w:val="0F2FC585"/>
    <w:rsid w:val="0F550C8F"/>
    <w:rsid w:val="0F9A1194"/>
    <w:rsid w:val="0FA61C38"/>
    <w:rsid w:val="0FAD212D"/>
    <w:rsid w:val="0FDF4BE6"/>
    <w:rsid w:val="0FE27CB1"/>
    <w:rsid w:val="0FF01AE4"/>
    <w:rsid w:val="0FF031DA"/>
    <w:rsid w:val="1011A7CF"/>
    <w:rsid w:val="1019F79E"/>
    <w:rsid w:val="1044E40E"/>
    <w:rsid w:val="1062FB13"/>
    <w:rsid w:val="109D8D89"/>
    <w:rsid w:val="10B26F0E"/>
    <w:rsid w:val="10BCE50B"/>
    <w:rsid w:val="10C67258"/>
    <w:rsid w:val="10C74977"/>
    <w:rsid w:val="10E98336"/>
    <w:rsid w:val="10FF4C8B"/>
    <w:rsid w:val="10FFCB58"/>
    <w:rsid w:val="11061AF5"/>
    <w:rsid w:val="1133A124"/>
    <w:rsid w:val="115B659B"/>
    <w:rsid w:val="118CE5D3"/>
    <w:rsid w:val="11917ADA"/>
    <w:rsid w:val="11E6AE06"/>
    <w:rsid w:val="11EFDEFB"/>
    <w:rsid w:val="122FAD6D"/>
    <w:rsid w:val="12460CEB"/>
    <w:rsid w:val="124E3F6F"/>
    <w:rsid w:val="1250716A"/>
    <w:rsid w:val="12520FC4"/>
    <w:rsid w:val="1270FAF0"/>
    <w:rsid w:val="127CB96F"/>
    <w:rsid w:val="12825602"/>
    <w:rsid w:val="129B3F04"/>
    <w:rsid w:val="129E0E85"/>
    <w:rsid w:val="12D936B7"/>
    <w:rsid w:val="12DEAA2E"/>
    <w:rsid w:val="12EA67E0"/>
    <w:rsid w:val="130341F9"/>
    <w:rsid w:val="13661D55"/>
    <w:rsid w:val="137AA28C"/>
    <w:rsid w:val="13A50F6A"/>
    <w:rsid w:val="13A8E3E2"/>
    <w:rsid w:val="13E29A07"/>
    <w:rsid w:val="1423DDFE"/>
    <w:rsid w:val="1427B9B4"/>
    <w:rsid w:val="143925E3"/>
    <w:rsid w:val="14932241"/>
    <w:rsid w:val="14A8A720"/>
    <w:rsid w:val="14A8E869"/>
    <w:rsid w:val="14E8035F"/>
    <w:rsid w:val="14EC4BDB"/>
    <w:rsid w:val="14EF9280"/>
    <w:rsid w:val="14EFBE44"/>
    <w:rsid w:val="14F89C97"/>
    <w:rsid w:val="14F9A291"/>
    <w:rsid w:val="15030851"/>
    <w:rsid w:val="15251E8C"/>
    <w:rsid w:val="152A5932"/>
    <w:rsid w:val="15322B34"/>
    <w:rsid w:val="154BCE97"/>
    <w:rsid w:val="1555A86F"/>
    <w:rsid w:val="155D4CC5"/>
    <w:rsid w:val="15608484"/>
    <w:rsid w:val="15896A7B"/>
    <w:rsid w:val="15920A90"/>
    <w:rsid w:val="15A1F592"/>
    <w:rsid w:val="15A8B5B8"/>
    <w:rsid w:val="15B97C23"/>
    <w:rsid w:val="15D4F644"/>
    <w:rsid w:val="15E6D670"/>
    <w:rsid w:val="15EC30EA"/>
    <w:rsid w:val="15FCBEAC"/>
    <w:rsid w:val="163B6B0F"/>
    <w:rsid w:val="1655F68D"/>
    <w:rsid w:val="1657245B"/>
    <w:rsid w:val="165C606D"/>
    <w:rsid w:val="1669954E"/>
    <w:rsid w:val="16A10147"/>
    <w:rsid w:val="16E57A73"/>
    <w:rsid w:val="16EBA5AA"/>
    <w:rsid w:val="17239DA1"/>
    <w:rsid w:val="1725470E"/>
    <w:rsid w:val="17667268"/>
    <w:rsid w:val="176D7078"/>
    <w:rsid w:val="1787A516"/>
    <w:rsid w:val="1793864E"/>
    <w:rsid w:val="17B4D18E"/>
    <w:rsid w:val="17E5F6B3"/>
    <w:rsid w:val="18167227"/>
    <w:rsid w:val="1822A88F"/>
    <w:rsid w:val="186709C1"/>
    <w:rsid w:val="18959B15"/>
    <w:rsid w:val="189D4E7C"/>
    <w:rsid w:val="18A08F58"/>
    <w:rsid w:val="18B14BD9"/>
    <w:rsid w:val="18E20A73"/>
    <w:rsid w:val="18E549F0"/>
    <w:rsid w:val="18EA43A9"/>
    <w:rsid w:val="1900C89C"/>
    <w:rsid w:val="192088E6"/>
    <w:rsid w:val="192B4E3B"/>
    <w:rsid w:val="197111C9"/>
    <w:rsid w:val="1992534B"/>
    <w:rsid w:val="19A952EF"/>
    <w:rsid w:val="19D75434"/>
    <w:rsid w:val="1A53269B"/>
    <w:rsid w:val="1A56912B"/>
    <w:rsid w:val="1ABC2ACD"/>
    <w:rsid w:val="1AE09B05"/>
    <w:rsid w:val="1AE9BC13"/>
    <w:rsid w:val="1AEDFC92"/>
    <w:rsid w:val="1B089108"/>
    <w:rsid w:val="1B125C21"/>
    <w:rsid w:val="1B14D52B"/>
    <w:rsid w:val="1B15B425"/>
    <w:rsid w:val="1B1F198F"/>
    <w:rsid w:val="1B2CF01E"/>
    <w:rsid w:val="1B3C2E77"/>
    <w:rsid w:val="1B3F84F7"/>
    <w:rsid w:val="1B472C06"/>
    <w:rsid w:val="1BAA975A"/>
    <w:rsid w:val="1BCFFE86"/>
    <w:rsid w:val="1BEED0BA"/>
    <w:rsid w:val="1BFA95CB"/>
    <w:rsid w:val="1C2920F4"/>
    <w:rsid w:val="1C325D8E"/>
    <w:rsid w:val="1C326CBA"/>
    <w:rsid w:val="1C60CE13"/>
    <w:rsid w:val="1C723BF1"/>
    <w:rsid w:val="1C8D8CE3"/>
    <w:rsid w:val="1C93F3E6"/>
    <w:rsid w:val="1C95F220"/>
    <w:rsid w:val="1CA63F32"/>
    <w:rsid w:val="1CB366A5"/>
    <w:rsid w:val="1D22B0B9"/>
    <w:rsid w:val="1D270A05"/>
    <w:rsid w:val="1D4E9B92"/>
    <w:rsid w:val="1D50AC91"/>
    <w:rsid w:val="1D5953DF"/>
    <w:rsid w:val="1D94AC55"/>
    <w:rsid w:val="1DCDF155"/>
    <w:rsid w:val="1DE58BAE"/>
    <w:rsid w:val="1DE7E1F8"/>
    <w:rsid w:val="1DFB67C3"/>
    <w:rsid w:val="1DFD1032"/>
    <w:rsid w:val="1E325D6A"/>
    <w:rsid w:val="1E3C3240"/>
    <w:rsid w:val="1E54FCAF"/>
    <w:rsid w:val="1E5A21C7"/>
    <w:rsid w:val="1E729BCE"/>
    <w:rsid w:val="1E875B3F"/>
    <w:rsid w:val="1E9D7672"/>
    <w:rsid w:val="1EA68558"/>
    <w:rsid w:val="1EAC3B82"/>
    <w:rsid w:val="1EE91A16"/>
    <w:rsid w:val="1F0ED9FC"/>
    <w:rsid w:val="1F3C4016"/>
    <w:rsid w:val="1F4AC2AF"/>
    <w:rsid w:val="1F7AA210"/>
    <w:rsid w:val="1F8DF557"/>
    <w:rsid w:val="1F94EE59"/>
    <w:rsid w:val="1FBB0317"/>
    <w:rsid w:val="1FD60524"/>
    <w:rsid w:val="1FD7D7B0"/>
    <w:rsid w:val="1FFD1B76"/>
    <w:rsid w:val="2082F150"/>
    <w:rsid w:val="20959D05"/>
    <w:rsid w:val="2095A785"/>
    <w:rsid w:val="20D49297"/>
    <w:rsid w:val="213F0875"/>
    <w:rsid w:val="2167F986"/>
    <w:rsid w:val="217B3490"/>
    <w:rsid w:val="218FC82F"/>
    <w:rsid w:val="21B0A183"/>
    <w:rsid w:val="21BC55CB"/>
    <w:rsid w:val="21FE18A8"/>
    <w:rsid w:val="22110E82"/>
    <w:rsid w:val="222BEA0F"/>
    <w:rsid w:val="22334015"/>
    <w:rsid w:val="225534D9"/>
    <w:rsid w:val="2257EDBF"/>
    <w:rsid w:val="2259E9EF"/>
    <w:rsid w:val="2278BCF4"/>
    <w:rsid w:val="227CD8BC"/>
    <w:rsid w:val="22825468"/>
    <w:rsid w:val="22D0B5CC"/>
    <w:rsid w:val="22D59827"/>
    <w:rsid w:val="2308348B"/>
    <w:rsid w:val="23203653"/>
    <w:rsid w:val="233CDC58"/>
    <w:rsid w:val="23799A12"/>
    <w:rsid w:val="239395EB"/>
    <w:rsid w:val="239524D2"/>
    <w:rsid w:val="23C5975E"/>
    <w:rsid w:val="23CE3E7F"/>
    <w:rsid w:val="23FFB2F0"/>
    <w:rsid w:val="24064314"/>
    <w:rsid w:val="240F4697"/>
    <w:rsid w:val="242B81C8"/>
    <w:rsid w:val="242E1FDA"/>
    <w:rsid w:val="243E511F"/>
    <w:rsid w:val="244D8D8F"/>
    <w:rsid w:val="2454C49B"/>
    <w:rsid w:val="2458B331"/>
    <w:rsid w:val="246201A6"/>
    <w:rsid w:val="246C862D"/>
    <w:rsid w:val="2488C927"/>
    <w:rsid w:val="24973B53"/>
    <w:rsid w:val="24B3D141"/>
    <w:rsid w:val="24C2A3A4"/>
    <w:rsid w:val="24DD2C45"/>
    <w:rsid w:val="25014D46"/>
    <w:rsid w:val="2505D13C"/>
    <w:rsid w:val="25080CE2"/>
    <w:rsid w:val="251518DE"/>
    <w:rsid w:val="2530A815"/>
    <w:rsid w:val="2547BF67"/>
    <w:rsid w:val="255E018D"/>
    <w:rsid w:val="256983A0"/>
    <w:rsid w:val="2575FE1C"/>
    <w:rsid w:val="257D8653"/>
    <w:rsid w:val="257FD969"/>
    <w:rsid w:val="258A784A"/>
    <w:rsid w:val="258CEC42"/>
    <w:rsid w:val="258EF04B"/>
    <w:rsid w:val="259EFFCE"/>
    <w:rsid w:val="25A8CE01"/>
    <w:rsid w:val="25AC3182"/>
    <w:rsid w:val="25D22482"/>
    <w:rsid w:val="2630C56A"/>
    <w:rsid w:val="263E17C5"/>
    <w:rsid w:val="2667E6C6"/>
    <w:rsid w:val="26762F52"/>
    <w:rsid w:val="26816752"/>
    <w:rsid w:val="2688CF7E"/>
    <w:rsid w:val="26AC4E59"/>
    <w:rsid w:val="26B7D7D4"/>
    <w:rsid w:val="27542CED"/>
    <w:rsid w:val="275A1EF9"/>
    <w:rsid w:val="2767F50F"/>
    <w:rsid w:val="27722C71"/>
    <w:rsid w:val="277FED5C"/>
    <w:rsid w:val="27A43F48"/>
    <w:rsid w:val="27B82470"/>
    <w:rsid w:val="27C9CC53"/>
    <w:rsid w:val="27CDD4DE"/>
    <w:rsid w:val="27DB5A16"/>
    <w:rsid w:val="27E27F5C"/>
    <w:rsid w:val="27EB5C3F"/>
    <w:rsid w:val="27F18DA8"/>
    <w:rsid w:val="27F8EE2B"/>
    <w:rsid w:val="2812D2B0"/>
    <w:rsid w:val="281CC313"/>
    <w:rsid w:val="28689678"/>
    <w:rsid w:val="288D6420"/>
    <w:rsid w:val="28AE42AB"/>
    <w:rsid w:val="29172217"/>
    <w:rsid w:val="291FF9CF"/>
    <w:rsid w:val="2920CA7B"/>
    <w:rsid w:val="29417383"/>
    <w:rsid w:val="298ACBA8"/>
    <w:rsid w:val="29A4DF33"/>
    <w:rsid w:val="29AFDA74"/>
    <w:rsid w:val="29F56584"/>
    <w:rsid w:val="29FEC540"/>
    <w:rsid w:val="2A187B40"/>
    <w:rsid w:val="2A1E25DB"/>
    <w:rsid w:val="2A28620E"/>
    <w:rsid w:val="2A3EAA12"/>
    <w:rsid w:val="2AFF6614"/>
    <w:rsid w:val="2B2084CA"/>
    <w:rsid w:val="2B291327"/>
    <w:rsid w:val="2B31919B"/>
    <w:rsid w:val="2B320C9D"/>
    <w:rsid w:val="2B412EAE"/>
    <w:rsid w:val="2B610A4B"/>
    <w:rsid w:val="2B8FFC95"/>
    <w:rsid w:val="2B9135E5"/>
    <w:rsid w:val="2B9159ED"/>
    <w:rsid w:val="2B94943C"/>
    <w:rsid w:val="2BA08316"/>
    <w:rsid w:val="2BABE131"/>
    <w:rsid w:val="2BAC6C93"/>
    <w:rsid w:val="2BAF924B"/>
    <w:rsid w:val="2BB9C0DE"/>
    <w:rsid w:val="2BC78A15"/>
    <w:rsid w:val="2BCA1A96"/>
    <w:rsid w:val="2BD02F5E"/>
    <w:rsid w:val="2BFB413D"/>
    <w:rsid w:val="2C4D2310"/>
    <w:rsid w:val="2C5A52D3"/>
    <w:rsid w:val="2C8FBEF1"/>
    <w:rsid w:val="2CA3CE04"/>
    <w:rsid w:val="2CC2650C"/>
    <w:rsid w:val="2CD60F3F"/>
    <w:rsid w:val="2CD78B5A"/>
    <w:rsid w:val="2CF1DA9B"/>
    <w:rsid w:val="2D166D1C"/>
    <w:rsid w:val="2D405FF7"/>
    <w:rsid w:val="2D4DAFCE"/>
    <w:rsid w:val="2D5051F2"/>
    <w:rsid w:val="2D71613B"/>
    <w:rsid w:val="2D7290B8"/>
    <w:rsid w:val="2D764AD4"/>
    <w:rsid w:val="2DF3BEEC"/>
    <w:rsid w:val="2E4E880C"/>
    <w:rsid w:val="2E5B43FE"/>
    <w:rsid w:val="2E6A412B"/>
    <w:rsid w:val="2E715D53"/>
    <w:rsid w:val="2E7183E9"/>
    <w:rsid w:val="2E8AC6B6"/>
    <w:rsid w:val="2E9B0471"/>
    <w:rsid w:val="2EB1A23A"/>
    <w:rsid w:val="2EBBEA51"/>
    <w:rsid w:val="2ECB59DE"/>
    <w:rsid w:val="2ED7C487"/>
    <w:rsid w:val="2ED8D87F"/>
    <w:rsid w:val="2EEFA38A"/>
    <w:rsid w:val="2F2B4392"/>
    <w:rsid w:val="2F4592F4"/>
    <w:rsid w:val="2F46B3B2"/>
    <w:rsid w:val="2F567D16"/>
    <w:rsid w:val="2F58CE9F"/>
    <w:rsid w:val="2F6EFB25"/>
    <w:rsid w:val="2F762B64"/>
    <w:rsid w:val="2F7682B6"/>
    <w:rsid w:val="2F81B451"/>
    <w:rsid w:val="2FAD82C3"/>
    <w:rsid w:val="2FB3FE9D"/>
    <w:rsid w:val="2FDA712A"/>
    <w:rsid w:val="30041A6E"/>
    <w:rsid w:val="30126E49"/>
    <w:rsid w:val="30323452"/>
    <w:rsid w:val="3064A708"/>
    <w:rsid w:val="306CED45"/>
    <w:rsid w:val="307EC152"/>
    <w:rsid w:val="3098EAFE"/>
    <w:rsid w:val="30AB6315"/>
    <w:rsid w:val="30ABADAF"/>
    <w:rsid w:val="30C5B329"/>
    <w:rsid w:val="30CC187F"/>
    <w:rsid w:val="30F1071F"/>
    <w:rsid w:val="3104557F"/>
    <w:rsid w:val="3141B1DD"/>
    <w:rsid w:val="314CFD8B"/>
    <w:rsid w:val="314D514F"/>
    <w:rsid w:val="31876F5B"/>
    <w:rsid w:val="318E4573"/>
    <w:rsid w:val="319FBFA5"/>
    <w:rsid w:val="31AB928F"/>
    <w:rsid w:val="31B4FE70"/>
    <w:rsid w:val="31E4EEF9"/>
    <w:rsid w:val="31E682BE"/>
    <w:rsid w:val="322A8E12"/>
    <w:rsid w:val="322E2209"/>
    <w:rsid w:val="323F8E0E"/>
    <w:rsid w:val="3243A0F1"/>
    <w:rsid w:val="3243FA29"/>
    <w:rsid w:val="329428A7"/>
    <w:rsid w:val="32D15974"/>
    <w:rsid w:val="32D20953"/>
    <w:rsid w:val="32FC2A1C"/>
    <w:rsid w:val="330DB630"/>
    <w:rsid w:val="331BD358"/>
    <w:rsid w:val="334DF67B"/>
    <w:rsid w:val="3357E3C2"/>
    <w:rsid w:val="33614979"/>
    <w:rsid w:val="336E8659"/>
    <w:rsid w:val="336EB635"/>
    <w:rsid w:val="33AA6BC3"/>
    <w:rsid w:val="33C537C7"/>
    <w:rsid w:val="33E1767C"/>
    <w:rsid w:val="33EC9853"/>
    <w:rsid w:val="340AAF13"/>
    <w:rsid w:val="341C723B"/>
    <w:rsid w:val="3420CF66"/>
    <w:rsid w:val="343165AC"/>
    <w:rsid w:val="3442EF5F"/>
    <w:rsid w:val="3449F3D9"/>
    <w:rsid w:val="346A2742"/>
    <w:rsid w:val="347EDE2E"/>
    <w:rsid w:val="34F9C06D"/>
    <w:rsid w:val="35126340"/>
    <w:rsid w:val="3520FCE6"/>
    <w:rsid w:val="353C099B"/>
    <w:rsid w:val="353D0B6A"/>
    <w:rsid w:val="354E3A24"/>
    <w:rsid w:val="356CB293"/>
    <w:rsid w:val="358EEC01"/>
    <w:rsid w:val="359151AC"/>
    <w:rsid w:val="35BA34E9"/>
    <w:rsid w:val="35E84EE6"/>
    <w:rsid w:val="35F21198"/>
    <w:rsid w:val="3604BD11"/>
    <w:rsid w:val="3607F4E4"/>
    <w:rsid w:val="363215E7"/>
    <w:rsid w:val="364D8474"/>
    <w:rsid w:val="365E77DC"/>
    <w:rsid w:val="3665C235"/>
    <w:rsid w:val="3666AE58"/>
    <w:rsid w:val="36744B3D"/>
    <w:rsid w:val="3675CC9B"/>
    <w:rsid w:val="36C284AC"/>
    <w:rsid w:val="37123D4B"/>
    <w:rsid w:val="3713E7E2"/>
    <w:rsid w:val="373F3279"/>
    <w:rsid w:val="375525ED"/>
    <w:rsid w:val="375D70D2"/>
    <w:rsid w:val="3799D2B1"/>
    <w:rsid w:val="379D49D6"/>
    <w:rsid w:val="37A24909"/>
    <w:rsid w:val="37AD3072"/>
    <w:rsid w:val="386125FF"/>
    <w:rsid w:val="38A0D64D"/>
    <w:rsid w:val="38E2947C"/>
    <w:rsid w:val="38E499DF"/>
    <w:rsid w:val="38E835FB"/>
    <w:rsid w:val="38EBE403"/>
    <w:rsid w:val="3914225A"/>
    <w:rsid w:val="394351E5"/>
    <w:rsid w:val="394A6B23"/>
    <w:rsid w:val="39724E13"/>
    <w:rsid w:val="398FB686"/>
    <w:rsid w:val="39933A2A"/>
    <w:rsid w:val="39A9DD8E"/>
    <w:rsid w:val="39CE08DE"/>
    <w:rsid w:val="39D65DE3"/>
    <w:rsid w:val="39E0E56F"/>
    <w:rsid w:val="3A076EE5"/>
    <w:rsid w:val="3A0D1F66"/>
    <w:rsid w:val="3A219714"/>
    <w:rsid w:val="3A384106"/>
    <w:rsid w:val="3A4F2B49"/>
    <w:rsid w:val="3A610CA0"/>
    <w:rsid w:val="3AA5A384"/>
    <w:rsid w:val="3AC311DE"/>
    <w:rsid w:val="3AD5DFD2"/>
    <w:rsid w:val="3AE2E94F"/>
    <w:rsid w:val="3B00B268"/>
    <w:rsid w:val="3B02E305"/>
    <w:rsid w:val="3B0B68AF"/>
    <w:rsid w:val="3B329205"/>
    <w:rsid w:val="3B701F61"/>
    <w:rsid w:val="3B72C113"/>
    <w:rsid w:val="3BF79907"/>
    <w:rsid w:val="3C082B10"/>
    <w:rsid w:val="3C0AD927"/>
    <w:rsid w:val="3C33D257"/>
    <w:rsid w:val="3C5CF344"/>
    <w:rsid w:val="3C8F9AA3"/>
    <w:rsid w:val="3C91E3CE"/>
    <w:rsid w:val="3CABD6FE"/>
    <w:rsid w:val="3CC7D3BE"/>
    <w:rsid w:val="3CCD395F"/>
    <w:rsid w:val="3CDAEB9A"/>
    <w:rsid w:val="3CE42925"/>
    <w:rsid w:val="3CF6438C"/>
    <w:rsid w:val="3D05C40E"/>
    <w:rsid w:val="3D161A2C"/>
    <w:rsid w:val="3D455FC8"/>
    <w:rsid w:val="3D6A22EE"/>
    <w:rsid w:val="3DB5F277"/>
    <w:rsid w:val="3DE68751"/>
    <w:rsid w:val="3DF9101C"/>
    <w:rsid w:val="3E15EFB1"/>
    <w:rsid w:val="3E185166"/>
    <w:rsid w:val="3E27B07D"/>
    <w:rsid w:val="3E2A3AAD"/>
    <w:rsid w:val="3E3B07EC"/>
    <w:rsid w:val="3E7E2F92"/>
    <w:rsid w:val="3E7FB190"/>
    <w:rsid w:val="3E9674E8"/>
    <w:rsid w:val="3F4352BD"/>
    <w:rsid w:val="3F4B71E7"/>
    <w:rsid w:val="3F4E43D0"/>
    <w:rsid w:val="3F4F03E5"/>
    <w:rsid w:val="3F6578A5"/>
    <w:rsid w:val="3F949406"/>
    <w:rsid w:val="3FB11104"/>
    <w:rsid w:val="3FBF179D"/>
    <w:rsid w:val="3FC12D60"/>
    <w:rsid w:val="3FE9A4F4"/>
    <w:rsid w:val="3FF428A4"/>
    <w:rsid w:val="40039CD3"/>
    <w:rsid w:val="400E0372"/>
    <w:rsid w:val="4038958E"/>
    <w:rsid w:val="405805C6"/>
    <w:rsid w:val="40695CFE"/>
    <w:rsid w:val="407FEA48"/>
    <w:rsid w:val="409FF734"/>
    <w:rsid w:val="40A5B5D5"/>
    <w:rsid w:val="40BA9739"/>
    <w:rsid w:val="40BAA33C"/>
    <w:rsid w:val="40EB03F0"/>
    <w:rsid w:val="410ED339"/>
    <w:rsid w:val="4153E6E4"/>
    <w:rsid w:val="4169C621"/>
    <w:rsid w:val="41B2FBE0"/>
    <w:rsid w:val="41B7ED59"/>
    <w:rsid w:val="41D7AEB0"/>
    <w:rsid w:val="42194CEB"/>
    <w:rsid w:val="421E548E"/>
    <w:rsid w:val="422A0E38"/>
    <w:rsid w:val="424066CB"/>
    <w:rsid w:val="4259FA97"/>
    <w:rsid w:val="425B6063"/>
    <w:rsid w:val="426509F6"/>
    <w:rsid w:val="4275D9D0"/>
    <w:rsid w:val="42967ED9"/>
    <w:rsid w:val="42A4A1B4"/>
    <w:rsid w:val="42E3750B"/>
    <w:rsid w:val="42E7B648"/>
    <w:rsid w:val="42ED19F2"/>
    <w:rsid w:val="42EDE3BD"/>
    <w:rsid w:val="430172AE"/>
    <w:rsid w:val="4317C007"/>
    <w:rsid w:val="4319AA4F"/>
    <w:rsid w:val="431FF4F7"/>
    <w:rsid w:val="433975F6"/>
    <w:rsid w:val="434ADA50"/>
    <w:rsid w:val="434C4AF3"/>
    <w:rsid w:val="4356EDEF"/>
    <w:rsid w:val="4372DDFB"/>
    <w:rsid w:val="439AE06F"/>
    <w:rsid w:val="439EB8D9"/>
    <w:rsid w:val="43B07DEE"/>
    <w:rsid w:val="43BF6EC7"/>
    <w:rsid w:val="43D3FD5C"/>
    <w:rsid w:val="43D9EAAF"/>
    <w:rsid w:val="43E3E7C1"/>
    <w:rsid w:val="43EC39B4"/>
    <w:rsid w:val="44012B78"/>
    <w:rsid w:val="4403235D"/>
    <w:rsid w:val="440A3EAC"/>
    <w:rsid w:val="44145206"/>
    <w:rsid w:val="441AE50C"/>
    <w:rsid w:val="44477B1A"/>
    <w:rsid w:val="4454423A"/>
    <w:rsid w:val="4457154B"/>
    <w:rsid w:val="445B1180"/>
    <w:rsid w:val="44912175"/>
    <w:rsid w:val="44C98065"/>
    <w:rsid w:val="4511DBA7"/>
    <w:rsid w:val="455F7A20"/>
    <w:rsid w:val="4580446E"/>
    <w:rsid w:val="45A0C6EC"/>
    <w:rsid w:val="45BDED2D"/>
    <w:rsid w:val="45BF3634"/>
    <w:rsid w:val="45D89280"/>
    <w:rsid w:val="45DF44FF"/>
    <w:rsid w:val="45EBE7EA"/>
    <w:rsid w:val="45ED942C"/>
    <w:rsid w:val="460B33F3"/>
    <w:rsid w:val="46177338"/>
    <w:rsid w:val="462327C3"/>
    <w:rsid w:val="4646DDC5"/>
    <w:rsid w:val="465A6EC0"/>
    <w:rsid w:val="4671E257"/>
    <w:rsid w:val="46814E8A"/>
    <w:rsid w:val="46C52E0C"/>
    <w:rsid w:val="46D8BA92"/>
    <w:rsid w:val="46E81040"/>
    <w:rsid w:val="46F6E917"/>
    <w:rsid w:val="4708316A"/>
    <w:rsid w:val="471281C1"/>
    <w:rsid w:val="47296D97"/>
    <w:rsid w:val="472BF45A"/>
    <w:rsid w:val="47356A16"/>
    <w:rsid w:val="473FC3E6"/>
    <w:rsid w:val="475D9DA2"/>
    <w:rsid w:val="47A40E15"/>
    <w:rsid w:val="47B37661"/>
    <w:rsid w:val="47CAC8A0"/>
    <w:rsid w:val="47DC7867"/>
    <w:rsid w:val="480DEB7A"/>
    <w:rsid w:val="4814D987"/>
    <w:rsid w:val="481FB9D8"/>
    <w:rsid w:val="483CA2D0"/>
    <w:rsid w:val="4869A0A1"/>
    <w:rsid w:val="486B6D10"/>
    <w:rsid w:val="48722E33"/>
    <w:rsid w:val="4873E7FF"/>
    <w:rsid w:val="4877A97F"/>
    <w:rsid w:val="48BE89AA"/>
    <w:rsid w:val="48D03D10"/>
    <w:rsid w:val="48D26D79"/>
    <w:rsid w:val="48F53CFB"/>
    <w:rsid w:val="48FCB4E3"/>
    <w:rsid w:val="490D66C6"/>
    <w:rsid w:val="49145AA2"/>
    <w:rsid w:val="491B64DC"/>
    <w:rsid w:val="49591E07"/>
    <w:rsid w:val="49B052E9"/>
    <w:rsid w:val="49CFA1B9"/>
    <w:rsid w:val="49DE389A"/>
    <w:rsid w:val="49E5BA19"/>
    <w:rsid w:val="4A130C80"/>
    <w:rsid w:val="4A1BF94B"/>
    <w:rsid w:val="4A282335"/>
    <w:rsid w:val="4A6BE6BC"/>
    <w:rsid w:val="4A7F9254"/>
    <w:rsid w:val="4AB1373D"/>
    <w:rsid w:val="4AF7136B"/>
    <w:rsid w:val="4B295790"/>
    <w:rsid w:val="4B409A12"/>
    <w:rsid w:val="4B6A9EDE"/>
    <w:rsid w:val="4B6C8F7A"/>
    <w:rsid w:val="4B77E012"/>
    <w:rsid w:val="4B942AE9"/>
    <w:rsid w:val="4BAA2725"/>
    <w:rsid w:val="4BB99A85"/>
    <w:rsid w:val="4BDE47BB"/>
    <w:rsid w:val="4BF4C120"/>
    <w:rsid w:val="4BFA8F08"/>
    <w:rsid w:val="4C743A32"/>
    <w:rsid w:val="4C86EF15"/>
    <w:rsid w:val="4C8C03BB"/>
    <w:rsid w:val="4CB62099"/>
    <w:rsid w:val="4CBDE6DE"/>
    <w:rsid w:val="4CC77CFE"/>
    <w:rsid w:val="4CD1EC7E"/>
    <w:rsid w:val="4D2CEC4F"/>
    <w:rsid w:val="4D3F070E"/>
    <w:rsid w:val="4D757B76"/>
    <w:rsid w:val="4DA6C4A8"/>
    <w:rsid w:val="4DC0D0A2"/>
    <w:rsid w:val="4DD83182"/>
    <w:rsid w:val="4DE2FAE0"/>
    <w:rsid w:val="4E06F8B9"/>
    <w:rsid w:val="4E125F17"/>
    <w:rsid w:val="4E176747"/>
    <w:rsid w:val="4E238E62"/>
    <w:rsid w:val="4E2B6EC5"/>
    <w:rsid w:val="4E4C3297"/>
    <w:rsid w:val="4E4DE301"/>
    <w:rsid w:val="4EAC43DE"/>
    <w:rsid w:val="4EBA1FBB"/>
    <w:rsid w:val="4EC0598E"/>
    <w:rsid w:val="4EC290E4"/>
    <w:rsid w:val="4ED2196D"/>
    <w:rsid w:val="4ED64CB6"/>
    <w:rsid w:val="4EDC93A8"/>
    <w:rsid w:val="4F001AAC"/>
    <w:rsid w:val="4F14F475"/>
    <w:rsid w:val="4F21B95A"/>
    <w:rsid w:val="4F2A09A3"/>
    <w:rsid w:val="4F326CC2"/>
    <w:rsid w:val="4F55B47A"/>
    <w:rsid w:val="4F5B5C01"/>
    <w:rsid w:val="4F69B302"/>
    <w:rsid w:val="4F70EFF1"/>
    <w:rsid w:val="4F76A2D8"/>
    <w:rsid w:val="4F93D8AB"/>
    <w:rsid w:val="4FA939C0"/>
    <w:rsid w:val="4FC5F62C"/>
    <w:rsid w:val="4FD55772"/>
    <w:rsid w:val="4FE115A2"/>
    <w:rsid w:val="4FE16BA2"/>
    <w:rsid w:val="4FEA8B11"/>
    <w:rsid w:val="4FECB89F"/>
    <w:rsid w:val="4FFB801D"/>
    <w:rsid w:val="5006C6F4"/>
    <w:rsid w:val="5029F831"/>
    <w:rsid w:val="5035A0B3"/>
    <w:rsid w:val="5075D899"/>
    <w:rsid w:val="5078812C"/>
    <w:rsid w:val="50870CE4"/>
    <w:rsid w:val="508DBF28"/>
    <w:rsid w:val="51162F99"/>
    <w:rsid w:val="511FB55D"/>
    <w:rsid w:val="5145F2CD"/>
    <w:rsid w:val="516338E5"/>
    <w:rsid w:val="5164EA10"/>
    <w:rsid w:val="516B4767"/>
    <w:rsid w:val="517D6514"/>
    <w:rsid w:val="517ECE26"/>
    <w:rsid w:val="51998681"/>
    <w:rsid w:val="51A6712B"/>
    <w:rsid w:val="51B5F745"/>
    <w:rsid w:val="51CFB8A7"/>
    <w:rsid w:val="51DCBA80"/>
    <w:rsid w:val="51DD7B51"/>
    <w:rsid w:val="51EDA51B"/>
    <w:rsid w:val="521BDF06"/>
    <w:rsid w:val="521EED00"/>
    <w:rsid w:val="523707E9"/>
    <w:rsid w:val="523A0FC2"/>
    <w:rsid w:val="524A91C2"/>
    <w:rsid w:val="527F9504"/>
    <w:rsid w:val="52A52C1A"/>
    <w:rsid w:val="52EC1C25"/>
    <w:rsid w:val="5333412D"/>
    <w:rsid w:val="5335DBF4"/>
    <w:rsid w:val="53531F4C"/>
    <w:rsid w:val="536559B0"/>
    <w:rsid w:val="53698FE6"/>
    <w:rsid w:val="53759B20"/>
    <w:rsid w:val="53AD795B"/>
    <w:rsid w:val="53BCF328"/>
    <w:rsid w:val="53BE0DEF"/>
    <w:rsid w:val="53E9E6FE"/>
    <w:rsid w:val="53F66D36"/>
    <w:rsid w:val="541794FF"/>
    <w:rsid w:val="5448AF4F"/>
    <w:rsid w:val="545ACEDA"/>
    <w:rsid w:val="5497EAFA"/>
    <w:rsid w:val="54AEC628"/>
    <w:rsid w:val="54F1CAAC"/>
    <w:rsid w:val="54F3FAA1"/>
    <w:rsid w:val="55010760"/>
    <w:rsid w:val="5516B605"/>
    <w:rsid w:val="551840D0"/>
    <w:rsid w:val="5536FA48"/>
    <w:rsid w:val="5559AD83"/>
    <w:rsid w:val="558C9F68"/>
    <w:rsid w:val="55A1BF5B"/>
    <w:rsid w:val="55A7848F"/>
    <w:rsid w:val="55AE26EE"/>
    <w:rsid w:val="55B175EA"/>
    <w:rsid w:val="55D3EC1C"/>
    <w:rsid w:val="55F52D25"/>
    <w:rsid w:val="56015CCB"/>
    <w:rsid w:val="56096CF2"/>
    <w:rsid w:val="561CFABA"/>
    <w:rsid w:val="561E78B2"/>
    <w:rsid w:val="5621E6ED"/>
    <w:rsid w:val="564885B2"/>
    <w:rsid w:val="565FA0C1"/>
    <w:rsid w:val="56640643"/>
    <w:rsid w:val="56742E69"/>
    <w:rsid w:val="56AE5CFE"/>
    <w:rsid w:val="56D56845"/>
    <w:rsid w:val="56E83671"/>
    <w:rsid w:val="56F3C671"/>
    <w:rsid w:val="5721B15E"/>
    <w:rsid w:val="572D1511"/>
    <w:rsid w:val="5733AEA9"/>
    <w:rsid w:val="5760CF00"/>
    <w:rsid w:val="57638CCF"/>
    <w:rsid w:val="576FE09A"/>
    <w:rsid w:val="5776AEEF"/>
    <w:rsid w:val="57835B35"/>
    <w:rsid w:val="579EB0C2"/>
    <w:rsid w:val="57C3398D"/>
    <w:rsid w:val="57F612A5"/>
    <w:rsid w:val="580C4B72"/>
    <w:rsid w:val="58170CAB"/>
    <w:rsid w:val="5825B562"/>
    <w:rsid w:val="585CE774"/>
    <w:rsid w:val="58705535"/>
    <w:rsid w:val="5880EA7E"/>
    <w:rsid w:val="5889EC0A"/>
    <w:rsid w:val="58959F40"/>
    <w:rsid w:val="58B95D70"/>
    <w:rsid w:val="58BE13B2"/>
    <w:rsid w:val="58BE8E8D"/>
    <w:rsid w:val="58D44175"/>
    <w:rsid w:val="59055D9B"/>
    <w:rsid w:val="591F2B96"/>
    <w:rsid w:val="5930B84A"/>
    <w:rsid w:val="594EE9A3"/>
    <w:rsid w:val="5951D378"/>
    <w:rsid w:val="596BF0AF"/>
    <w:rsid w:val="596D7D3B"/>
    <w:rsid w:val="5986787F"/>
    <w:rsid w:val="599DA7F1"/>
    <w:rsid w:val="599DCB7B"/>
    <w:rsid w:val="59E92DBA"/>
    <w:rsid w:val="59EB6124"/>
    <w:rsid w:val="59EFE932"/>
    <w:rsid w:val="59FA16D2"/>
    <w:rsid w:val="5A09A03D"/>
    <w:rsid w:val="5A576AF5"/>
    <w:rsid w:val="5A64DCD7"/>
    <w:rsid w:val="5A7B3B2C"/>
    <w:rsid w:val="5AB1AF30"/>
    <w:rsid w:val="5ABB5C02"/>
    <w:rsid w:val="5ABB892E"/>
    <w:rsid w:val="5ABC6E72"/>
    <w:rsid w:val="5AC26AA9"/>
    <w:rsid w:val="5AC78747"/>
    <w:rsid w:val="5AD4CDEE"/>
    <w:rsid w:val="5AE31C5A"/>
    <w:rsid w:val="5AE42B4F"/>
    <w:rsid w:val="5AE7C411"/>
    <w:rsid w:val="5B00F3DC"/>
    <w:rsid w:val="5B04A3CB"/>
    <w:rsid w:val="5B2FFAA3"/>
    <w:rsid w:val="5B4B42CD"/>
    <w:rsid w:val="5B547935"/>
    <w:rsid w:val="5B5FEFC4"/>
    <w:rsid w:val="5B7CC855"/>
    <w:rsid w:val="5BAF9522"/>
    <w:rsid w:val="5BC5C50F"/>
    <w:rsid w:val="5BD2FCF6"/>
    <w:rsid w:val="5BD4221D"/>
    <w:rsid w:val="5C35ECDF"/>
    <w:rsid w:val="5C4D4D09"/>
    <w:rsid w:val="5C6446F2"/>
    <w:rsid w:val="5C67E028"/>
    <w:rsid w:val="5C709E4F"/>
    <w:rsid w:val="5C82B285"/>
    <w:rsid w:val="5C8936B5"/>
    <w:rsid w:val="5CB034AA"/>
    <w:rsid w:val="5CD54FA6"/>
    <w:rsid w:val="5CEA5456"/>
    <w:rsid w:val="5CF81845"/>
    <w:rsid w:val="5CFF3593"/>
    <w:rsid w:val="5D014E5D"/>
    <w:rsid w:val="5D120D61"/>
    <w:rsid w:val="5D432421"/>
    <w:rsid w:val="5D5DE1FF"/>
    <w:rsid w:val="5D6707AA"/>
    <w:rsid w:val="5D6EDEB1"/>
    <w:rsid w:val="5DA2BF31"/>
    <w:rsid w:val="5DBF2666"/>
    <w:rsid w:val="5DCDE7FE"/>
    <w:rsid w:val="5DDB9379"/>
    <w:rsid w:val="5DFDA5FE"/>
    <w:rsid w:val="5E0C753B"/>
    <w:rsid w:val="5E2E00AC"/>
    <w:rsid w:val="5E35329B"/>
    <w:rsid w:val="5E4FCB9B"/>
    <w:rsid w:val="5E6045DE"/>
    <w:rsid w:val="5E9B3E4E"/>
    <w:rsid w:val="5EBC277D"/>
    <w:rsid w:val="5EC06C39"/>
    <w:rsid w:val="5ED6300F"/>
    <w:rsid w:val="5ED8AF8F"/>
    <w:rsid w:val="5EE35E5E"/>
    <w:rsid w:val="5EFEE3F7"/>
    <w:rsid w:val="5F0EF3FB"/>
    <w:rsid w:val="5F24A6D0"/>
    <w:rsid w:val="5F511ACE"/>
    <w:rsid w:val="5F6E50B0"/>
    <w:rsid w:val="5FBBE3EE"/>
    <w:rsid w:val="5FCFD856"/>
    <w:rsid w:val="5FE5269C"/>
    <w:rsid w:val="5FF62ACD"/>
    <w:rsid w:val="603B9CC2"/>
    <w:rsid w:val="60694D90"/>
    <w:rsid w:val="60A1A71D"/>
    <w:rsid w:val="60A3C71C"/>
    <w:rsid w:val="60AA9AE7"/>
    <w:rsid w:val="60B91DEB"/>
    <w:rsid w:val="60C0F9B9"/>
    <w:rsid w:val="60C6D19D"/>
    <w:rsid w:val="60E00186"/>
    <w:rsid w:val="611DB2B1"/>
    <w:rsid w:val="6123DCA3"/>
    <w:rsid w:val="61294BF4"/>
    <w:rsid w:val="613A92AE"/>
    <w:rsid w:val="6156AF8A"/>
    <w:rsid w:val="616D1A51"/>
    <w:rsid w:val="6189A0EF"/>
    <w:rsid w:val="61B6FBC6"/>
    <w:rsid w:val="61BA71DA"/>
    <w:rsid w:val="61C5A6F6"/>
    <w:rsid w:val="61C67F5F"/>
    <w:rsid w:val="61D4F1F3"/>
    <w:rsid w:val="61ED5FD6"/>
    <w:rsid w:val="61EEBB06"/>
    <w:rsid w:val="61F3B97B"/>
    <w:rsid w:val="620EB3DB"/>
    <w:rsid w:val="62375381"/>
    <w:rsid w:val="625B0E9A"/>
    <w:rsid w:val="62646A45"/>
    <w:rsid w:val="62AFF88C"/>
    <w:rsid w:val="62DBE075"/>
    <w:rsid w:val="6306F592"/>
    <w:rsid w:val="631C22D1"/>
    <w:rsid w:val="6324EC4F"/>
    <w:rsid w:val="63382B2C"/>
    <w:rsid w:val="63440A46"/>
    <w:rsid w:val="63610063"/>
    <w:rsid w:val="63850025"/>
    <w:rsid w:val="63935197"/>
    <w:rsid w:val="639571F2"/>
    <w:rsid w:val="63AEB69E"/>
    <w:rsid w:val="63BE2EB6"/>
    <w:rsid w:val="63EB9993"/>
    <w:rsid w:val="640AA7DF"/>
    <w:rsid w:val="642BC8B5"/>
    <w:rsid w:val="644A672C"/>
    <w:rsid w:val="64535E1F"/>
    <w:rsid w:val="645B7186"/>
    <w:rsid w:val="6464EFB9"/>
    <w:rsid w:val="647ACC3B"/>
    <w:rsid w:val="648B187E"/>
    <w:rsid w:val="64E4E593"/>
    <w:rsid w:val="64FAF7C4"/>
    <w:rsid w:val="650037DE"/>
    <w:rsid w:val="650A7FD2"/>
    <w:rsid w:val="65105772"/>
    <w:rsid w:val="6514CEA1"/>
    <w:rsid w:val="651A7019"/>
    <w:rsid w:val="651B0511"/>
    <w:rsid w:val="653DE9F3"/>
    <w:rsid w:val="6549B399"/>
    <w:rsid w:val="65AB34F1"/>
    <w:rsid w:val="65B21377"/>
    <w:rsid w:val="65B9B8E2"/>
    <w:rsid w:val="65CE4E67"/>
    <w:rsid w:val="65D08573"/>
    <w:rsid w:val="65DA6756"/>
    <w:rsid w:val="65E0AB38"/>
    <w:rsid w:val="65F47B46"/>
    <w:rsid w:val="66051B38"/>
    <w:rsid w:val="6622C50A"/>
    <w:rsid w:val="6631CFCC"/>
    <w:rsid w:val="66361459"/>
    <w:rsid w:val="663836A6"/>
    <w:rsid w:val="6640B9FF"/>
    <w:rsid w:val="66607556"/>
    <w:rsid w:val="6682330E"/>
    <w:rsid w:val="66823807"/>
    <w:rsid w:val="66A157DE"/>
    <w:rsid w:val="66B015BC"/>
    <w:rsid w:val="66CA75E6"/>
    <w:rsid w:val="66EC1D67"/>
    <w:rsid w:val="66F993FB"/>
    <w:rsid w:val="66FB2379"/>
    <w:rsid w:val="6713C001"/>
    <w:rsid w:val="67312EE0"/>
    <w:rsid w:val="6745277A"/>
    <w:rsid w:val="67535ABF"/>
    <w:rsid w:val="67BA6F97"/>
    <w:rsid w:val="67CD8D05"/>
    <w:rsid w:val="6814921D"/>
    <w:rsid w:val="68587148"/>
    <w:rsid w:val="6863531E"/>
    <w:rsid w:val="687A3ED1"/>
    <w:rsid w:val="6880FD36"/>
    <w:rsid w:val="68974B62"/>
    <w:rsid w:val="68AA3FDF"/>
    <w:rsid w:val="68AAD052"/>
    <w:rsid w:val="68B0DAEB"/>
    <w:rsid w:val="68DF2DB5"/>
    <w:rsid w:val="68F17569"/>
    <w:rsid w:val="691193C6"/>
    <w:rsid w:val="6918C99F"/>
    <w:rsid w:val="693D87BA"/>
    <w:rsid w:val="695128E9"/>
    <w:rsid w:val="695E8991"/>
    <w:rsid w:val="69763DAE"/>
    <w:rsid w:val="6991BC11"/>
    <w:rsid w:val="6991D803"/>
    <w:rsid w:val="69A8DEBF"/>
    <w:rsid w:val="69E06CD2"/>
    <w:rsid w:val="69E3ABE3"/>
    <w:rsid w:val="69EC318B"/>
    <w:rsid w:val="6A09102F"/>
    <w:rsid w:val="6A2FDE9E"/>
    <w:rsid w:val="6A38BD0C"/>
    <w:rsid w:val="6A3EA0D3"/>
    <w:rsid w:val="6A40D484"/>
    <w:rsid w:val="6A4B60C3"/>
    <w:rsid w:val="6A59918C"/>
    <w:rsid w:val="6A7A848F"/>
    <w:rsid w:val="6A9F2EAD"/>
    <w:rsid w:val="6AA37375"/>
    <w:rsid w:val="6ADACDEB"/>
    <w:rsid w:val="6AEA24CF"/>
    <w:rsid w:val="6AF62ECD"/>
    <w:rsid w:val="6B07825E"/>
    <w:rsid w:val="6B168B86"/>
    <w:rsid w:val="6B3BE426"/>
    <w:rsid w:val="6B8947E0"/>
    <w:rsid w:val="6B97C5C9"/>
    <w:rsid w:val="6B9F460D"/>
    <w:rsid w:val="6BEBBADE"/>
    <w:rsid w:val="6BF00305"/>
    <w:rsid w:val="6C0809EA"/>
    <w:rsid w:val="6C156FD6"/>
    <w:rsid w:val="6C1827A9"/>
    <w:rsid w:val="6C24643B"/>
    <w:rsid w:val="6C3DDC91"/>
    <w:rsid w:val="6C8B9507"/>
    <w:rsid w:val="6C8D107A"/>
    <w:rsid w:val="6C9283C3"/>
    <w:rsid w:val="6C9573B5"/>
    <w:rsid w:val="6C965A47"/>
    <w:rsid w:val="6C96C4E7"/>
    <w:rsid w:val="6CD83180"/>
    <w:rsid w:val="6CE8CD35"/>
    <w:rsid w:val="6D1AD7FB"/>
    <w:rsid w:val="6D3182F1"/>
    <w:rsid w:val="6D3AFCE1"/>
    <w:rsid w:val="6D594ECF"/>
    <w:rsid w:val="6D60259F"/>
    <w:rsid w:val="6D82313E"/>
    <w:rsid w:val="6D8B9343"/>
    <w:rsid w:val="6D8C414C"/>
    <w:rsid w:val="6DAD3BA9"/>
    <w:rsid w:val="6DB48A16"/>
    <w:rsid w:val="6DBBB72B"/>
    <w:rsid w:val="6DD5E64C"/>
    <w:rsid w:val="6E0EF666"/>
    <w:rsid w:val="6E43CA8C"/>
    <w:rsid w:val="6E7E2FA5"/>
    <w:rsid w:val="6E91AADE"/>
    <w:rsid w:val="6E97D878"/>
    <w:rsid w:val="6EAEE8DF"/>
    <w:rsid w:val="6EDD102B"/>
    <w:rsid w:val="6EF2F3D4"/>
    <w:rsid w:val="6F3411F2"/>
    <w:rsid w:val="6F3DFBE1"/>
    <w:rsid w:val="6F65BA7F"/>
    <w:rsid w:val="6F7169BD"/>
    <w:rsid w:val="6F826875"/>
    <w:rsid w:val="6FB8F80F"/>
    <w:rsid w:val="6FDE0821"/>
    <w:rsid w:val="7044AEDD"/>
    <w:rsid w:val="7070639D"/>
    <w:rsid w:val="7075026F"/>
    <w:rsid w:val="707578A7"/>
    <w:rsid w:val="708D3593"/>
    <w:rsid w:val="70A3B248"/>
    <w:rsid w:val="70B61958"/>
    <w:rsid w:val="70C4C809"/>
    <w:rsid w:val="70D878D6"/>
    <w:rsid w:val="71039F32"/>
    <w:rsid w:val="7106D4E4"/>
    <w:rsid w:val="71126650"/>
    <w:rsid w:val="714A5BD8"/>
    <w:rsid w:val="715C25F3"/>
    <w:rsid w:val="71CFDA7D"/>
    <w:rsid w:val="71DC059C"/>
    <w:rsid w:val="71E35C74"/>
    <w:rsid w:val="722564CF"/>
    <w:rsid w:val="722A5A86"/>
    <w:rsid w:val="72476DD4"/>
    <w:rsid w:val="726C59BA"/>
    <w:rsid w:val="72881F0A"/>
    <w:rsid w:val="729D6CED"/>
    <w:rsid w:val="7309A695"/>
    <w:rsid w:val="73136672"/>
    <w:rsid w:val="732804F1"/>
    <w:rsid w:val="734B104D"/>
    <w:rsid w:val="734B5D09"/>
    <w:rsid w:val="735BAA14"/>
    <w:rsid w:val="73670E33"/>
    <w:rsid w:val="73698DF2"/>
    <w:rsid w:val="736A803A"/>
    <w:rsid w:val="73796003"/>
    <w:rsid w:val="7386765E"/>
    <w:rsid w:val="738EDDC6"/>
    <w:rsid w:val="739F14F7"/>
    <w:rsid w:val="73A8FD86"/>
    <w:rsid w:val="73C837AF"/>
    <w:rsid w:val="73C96481"/>
    <w:rsid w:val="74480314"/>
    <w:rsid w:val="747C8864"/>
    <w:rsid w:val="7490CDD7"/>
    <w:rsid w:val="74AE8F71"/>
    <w:rsid w:val="74C3D552"/>
    <w:rsid w:val="74D57168"/>
    <w:rsid w:val="74FB339E"/>
    <w:rsid w:val="7501ACD1"/>
    <w:rsid w:val="7512305F"/>
    <w:rsid w:val="7513A5D1"/>
    <w:rsid w:val="751F8737"/>
    <w:rsid w:val="753134E6"/>
    <w:rsid w:val="7534EB22"/>
    <w:rsid w:val="75360128"/>
    <w:rsid w:val="753F9CB0"/>
    <w:rsid w:val="75499E00"/>
    <w:rsid w:val="7549ABEE"/>
    <w:rsid w:val="75516AE1"/>
    <w:rsid w:val="75612080"/>
    <w:rsid w:val="75879E83"/>
    <w:rsid w:val="758C9F34"/>
    <w:rsid w:val="75A9E080"/>
    <w:rsid w:val="75ACD84A"/>
    <w:rsid w:val="75BB9A7C"/>
    <w:rsid w:val="75BC7C84"/>
    <w:rsid w:val="75C5993E"/>
    <w:rsid w:val="75C77512"/>
    <w:rsid w:val="75EE2706"/>
    <w:rsid w:val="76032DAD"/>
    <w:rsid w:val="7615291D"/>
    <w:rsid w:val="7635D53A"/>
    <w:rsid w:val="76430F63"/>
    <w:rsid w:val="76583A78"/>
    <w:rsid w:val="76831204"/>
    <w:rsid w:val="76AE507A"/>
    <w:rsid w:val="76BCDB3E"/>
    <w:rsid w:val="76C405AC"/>
    <w:rsid w:val="76F1BDB5"/>
    <w:rsid w:val="76F78349"/>
    <w:rsid w:val="76FE1739"/>
    <w:rsid w:val="770DEE2E"/>
    <w:rsid w:val="772294C9"/>
    <w:rsid w:val="7732210A"/>
    <w:rsid w:val="774DFB52"/>
    <w:rsid w:val="7767475D"/>
    <w:rsid w:val="776BF528"/>
    <w:rsid w:val="7772E1F4"/>
    <w:rsid w:val="777A0B77"/>
    <w:rsid w:val="77ACC536"/>
    <w:rsid w:val="77D369D8"/>
    <w:rsid w:val="77E78CBD"/>
    <w:rsid w:val="77E92985"/>
    <w:rsid w:val="77FB7614"/>
    <w:rsid w:val="78131968"/>
    <w:rsid w:val="782BF81C"/>
    <w:rsid w:val="7846CB6E"/>
    <w:rsid w:val="784B1A30"/>
    <w:rsid w:val="784F1223"/>
    <w:rsid w:val="785C0DD2"/>
    <w:rsid w:val="785F30A9"/>
    <w:rsid w:val="786F5CF7"/>
    <w:rsid w:val="78774880"/>
    <w:rsid w:val="7882E40F"/>
    <w:rsid w:val="78A8BB79"/>
    <w:rsid w:val="78B2022C"/>
    <w:rsid w:val="78B78E25"/>
    <w:rsid w:val="78CAD3CF"/>
    <w:rsid w:val="78DD26DD"/>
    <w:rsid w:val="78F7CCE1"/>
    <w:rsid w:val="78FEFBE7"/>
    <w:rsid w:val="790654A2"/>
    <w:rsid w:val="7908FE08"/>
    <w:rsid w:val="791F0038"/>
    <w:rsid w:val="7932DEF4"/>
    <w:rsid w:val="7946FD8D"/>
    <w:rsid w:val="7950DABC"/>
    <w:rsid w:val="79974675"/>
    <w:rsid w:val="79BDC78E"/>
    <w:rsid w:val="79F060D4"/>
    <w:rsid w:val="7A116C75"/>
    <w:rsid w:val="7A63F64D"/>
    <w:rsid w:val="7A8C9954"/>
    <w:rsid w:val="7A91F78F"/>
    <w:rsid w:val="7AB325BB"/>
    <w:rsid w:val="7AB52DD3"/>
    <w:rsid w:val="7AB5ADB5"/>
    <w:rsid w:val="7AB72DA6"/>
    <w:rsid w:val="7ABB168E"/>
    <w:rsid w:val="7AD3F49F"/>
    <w:rsid w:val="7AF6B50B"/>
    <w:rsid w:val="7AFEE3F3"/>
    <w:rsid w:val="7B5C1D45"/>
    <w:rsid w:val="7B657573"/>
    <w:rsid w:val="7B9AD1B9"/>
    <w:rsid w:val="7BA2FC7F"/>
    <w:rsid w:val="7BCD443E"/>
    <w:rsid w:val="7BE09CF5"/>
    <w:rsid w:val="7BE922FF"/>
    <w:rsid w:val="7BED4AEB"/>
    <w:rsid w:val="7BFF0887"/>
    <w:rsid w:val="7C2A5BE5"/>
    <w:rsid w:val="7C401AB6"/>
    <w:rsid w:val="7C4255C9"/>
    <w:rsid w:val="7C5AC34E"/>
    <w:rsid w:val="7C63A19E"/>
    <w:rsid w:val="7CABC677"/>
    <w:rsid w:val="7CD25E99"/>
    <w:rsid w:val="7CE181D5"/>
    <w:rsid w:val="7CE2B097"/>
    <w:rsid w:val="7CE4F40D"/>
    <w:rsid w:val="7CE5A2A2"/>
    <w:rsid w:val="7D15D978"/>
    <w:rsid w:val="7D43D02C"/>
    <w:rsid w:val="7D478618"/>
    <w:rsid w:val="7D482D2C"/>
    <w:rsid w:val="7D753611"/>
    <w:rsid w:val="7D8B5375"/>
    <w:rsid w:val="7DBE81B4"/>
    <w:rsid w:val="7DCFC603"/>
    <w:rsid w:val="7DD450A0"/>
    <w:rsid w:val="7DE384E0"/>
    <w:rsid w:val="7DFC5D21"/>
    <w:rsid w:val="7E0015B9"/>
    <w:rsid w:val="7E0D672E"/>
    <w:rsid w:val="7E470E52"/>
    <w:rsid w:val="7E6D5AFB"/>
    <w:rsid w:val="7E755E6C"/>
    <w:rsid w:val="7E8809BD"/>
    <w:rsid w:val="7F021A90"/>
    <w:rsid w:val="7F028C1E"/>
    <w:rsid w:val="7F070E1A"/>
    <w:rsid w:val="7F1844E3"/>
    <w:rsid w:val="7F425123"/>
    <w:rsid w:val="7F4550D5"/>
    <w:rsid w:val="7F7DEBF8"/>
    <w:rsid w:val="7F8380AA"/>
    <w:rsid w:val="7FA57C8A"/>
    <w:rsid w:val="7FB8F681"/>
    <w:rsid w:val="7FC1FEAF"/>
    <w:rsid w:val="7FE8FE47"/>
    <w:rsid w:val="7FF3E6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1E1AB"/>
  <w15:chartTrackingRefBased/>
  <w15:docId w15:val="{AC928124-8C55-42D5-8A9F-2DE28F413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3804"/>
    <w:rPr>
      <w:rFonts w:ascii="Arial" w:hAnsi="Arial" w:cs="Arial"/>
      <w:sz w:val="24"/>
      <w:lang w:eastAsia="en-US"/>
    </w:rPr>
  </w:style>
  <w:style w:type="paragraph" w:styleId="Heading1">
    <w:name w:val="heading 1"/>
    <w:basedOn w:val="Normal"/>
    <w:next w:val="Normal"/>
    <w:link w:val="Heading1Char"/>
    <w:qFormat/>
    <w:rsid w:val="00216C57"/>
    <w:pPr>
      <w:keepNext/>
      <w:jc w:val="center"/>
      <w:outlineLvl w:val="0"/>
    </w:pPr>
    <w:rPr>
      <w:sz w:val="28"/>
      <w:u w:val="single"/>
    </w:rPr>
  </w:style>
  <w:style w:type="paragraph" w:styleId="Heading2">
    <w:name w:val="heading 2"/>
    <w:basedOn w:val="Normal"/>
    <w:next w:val="Normal"/>
    <w:link w:val="Heading2Char"/>
    <w:qFormat/>
    <w:rsid w:val="00216C57"/>
    <w:pPr>
      <w:keepNext/>
      <w:outlineLvl w:val="1"/>
    </w:pPr>
    <w:rPr>
      <w:b/>
      <w:u w:val="single"/>
    </w:rPr>
  </w:style>
  <w:style w:type="paragraph" w:styleId="Heading3">
    <w:name w:val="heading 3"/>
    <w:basedOn w:val="Normal"/>
    <w:next w:val="Normal"/>
    <w:qFormat/>
    <w:rsid w:val="00216C57"/>
    <w:pPr>
      <w:keepNext/>
      <w:tabs>
        <w:tab w:val="left" w:pos="1276"/>
      </w:tabs>
      <w:jc w:val="both"/>
      <w:outlineLvl w:val="2"/>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216C57"/>
    <w:pPr>
      <w:ind w:left="450" w:hanging="360"/>
    </w:pPr>
    <w:rPr>
      <w:lang w:val="en-US"/>
    </w:rPr>
  </w:style>
  <w:style w:type="paragraph" w:styleId="BodyText2">
    <w:name w:val="Body Text 2"/>
    <w:basedOn w:val="Normal"/>
    <w:rsid w:val="00216C57"/>
    <w:pPr>
      <w:tabs>
        <w:tab w:val="left" w:pos="1276"/>
      </w:tabs>
      <w:jc w:val="both"/>
    </w:pPr>
  </w:style>
  <w:style w:type="paragraph" w:styleId="Header">
    <w:name w:val="header"/>
    <w:basedOn w:val="Normal"/>
    <w:link w:val="HeaderChar"/>
    <w:uiPriority w:val="99"/>
    <w:rsid w:val="00216C57"/>
    <w:pPr>
      <w:tabs>
        <w:tab w:val="center" w:pos="4320"/>
        <w:tab w:val="right" w:pos="8640"/>
      </w:tabs>
    </w:pPr>
  </w:style>
  <w:style w:type="character" w:styleId="PageNumber">
    <w:name w:val="page number"/>
    <w:basedOn w:val="DefaultParagraphFont"/>
    <w:rsid w:val="00216C57"/>
  </w:style>
  <w:style w:type="paragraph" w:styleId="Footer">
    <w:name w:val="footer"/>
    <w:basedOn w:val="Normal"/>
    <w:link w:val="FooterChar"/>
    <w:uiPriority w:val="99"/>
    <w:rsid w:val="00216C57"/>
    <w:pPr>
      <w:tabs>
        <w:tab w:val="center" w:pos="4320"/>
        <w:tab w:val="right" w:pos="8640"/>
      </w:tabs>
    </w:pPr>
  </w:style>
  <w:style w:type="character" w:styleId="Hyperlink">
    <w:name w:val="Hyperlink"/>
    <w:uiPriority w:val="99"/>
    <w:rsid w:val="00216C57"/>
    <w:rPr>
      <w:color w:val="0000FF"/>
      <w:u w:val="single"/>
    </w:rPr>
  </w:style>
  <w:style w:type="paragraph" w:styleId="NormalWeb">
    <w:name w:val="Normal (Web)"/>
    <w:basedOn w:val="Normal"/>
    <w:uiPriority w:val="99"/>
    <w:rsid w:val="00216C57"/>
    <w:pPr>
      <w:spacing w:before="100" w:beforeAutospacing="1" w:after="100" w:afterAutospacing="1"/>
    </w:pPr>
    <w:rPr>
      <w:rFonts w:ascii="Times New Roman" w:hAnsi="Times New Roman" w:cs="Times New Roman"/>
      <w:szCs w:val="24"/>
      <w:lang w:eastAsia="en-GB"/>
    </w:rPr>
  </w:style>
  <w:style w:type="table" w:styleId="TableGrid">
    <w:name w:val="Table Grid"/>
    <w:basedOn w:val="TableNormal"/>
    <w:uiPriority w:val="59"/>
    <w:rsid w:val="00F131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B371F2"/>
    <w:rPr>
      <w:rFonts w:ascii="Tahoma" w:hAnsi="Tahoma" w:cs="Tahoma"/>
      <w:sz w:val="16"/>
      <w:szCs w:val="16"/>
    </w:rPr>
  </w:style>
  <w:style w:type="character" w:customStyle="1" w:styleId="BalloonTextChar">
    <w:name w:val="Balloon Text Char"/>
    <w:link w:val="BalloonText"/>
    <w:uiPriority w:val="99"/>
    <w:rsid w:val="00B371F2"/>
    <w:rPr>
      <w:rFonts w:ascii="Tahoma" w:hAnsi="Tahoma" w:cs="Tahoma"/>
      <w:sz w:val="16"/>
      <w:szCs w:val="16"/>
      <w:lang w:eastAsia="en-US"/>
    </w:rPr>
  </w:style>
  <w:style w:type="paragraph" w:customStyle="1" w:styleId="Default">
    <w:name w:val="Default"/>
    <w:rsid w:val="00586B4B"/>
    <w:pPr>
      <w:autoSpaceDE w:val="0"/>
      <w:autoSpaceDN w:val="0"/>
      <w:adjustRightInd w:val="0"/>
    </w:pPr>
    <w:rPr>
      <w:rFonts w:ascii="Arial" w:hAnsi="Arial" w:cs="Arial"/>
      <w:color w:val="000000"/>
      <w:sz w:val="24"/>
      <w:szCs w:val="24"/>
    </w:rPr>
  </w:style>
  <w:style w:type="paragraph" w:styleId="BodyTextIndent3">
    <w:name w:val="Body Text Indent 3"/>
    <w:basedOn w:val="Normal"/>
    <w:link w:val="BodyTextIndent3Char"/>
    <w:rsid w:val="00C535B3"/>
    <w:pPr>
      <w:spacing w:after="120"/>
      <w:ind w:left="283"/>
    </w:pPr>
    <w:rPr>
      <w:sz w:val="16"/>
      <w:szCs w:val="16"/>
    </w:rPr>
  </w:style>
  <w:style w:type="character" w:customStyle="1" w:styleId="BodyTextIndent3Char">
    <w:name w:val="Body Text Indent 3 Char"/>
    <w:link w:val="BodyTextIndent3"/>
    <w:rsid w:val="00C535B3"/>
    <w:rPr>
      <w:rFonts w:ascii="Arial" w:hAnsi="Arial" w:cs="Arial"/>
      <w:sz w:val="16"/>
      <w:szCs w:val="16"/>
      <w:lang w:eastAsia="en-US"/>
    </w:rPr>
  </w:style>
  <w:style w:type="character" w:customStyle="1" w:styleId="FooterChar">
    <w:name w:val="Footer Char"/>
    <w:link w:val="Footer"/>
    <w:uiPriority w:val="99"/>
    <w:rsid w:val="006907F8"/>
    <w:rPr>
      <w:rFonts w:ascii="Arial" w:hAnsi="Arial" w:cs="Arial"/>
      <w:sz w:val="24"/>
      <w:lang w:eastAsia="en-US"/>
    </w:rPr>
  </w:style>
  <w:style w:type="paragraph" w:styleId="NoSpacing">
    <w:name w:val="No Spacing"/>
    <w:link w:val="NoSpacingChar"/>
    <w:uiPriority w:val="1"/>
    <w:qFormat/>
    <w:rsid w:val="004324E2"/>
    <w:rPr>
      <w:rFonts w:ascii="Calibri" w:eastAsia="MS Mincho" w:hAnsi="Calibri" w:cs="Arial"/>
      <w:sz w:val="22"/>
      <w:szCs w:val="22"/>
      <w:lang w:val="en-US" w:eastAsia="ja-JP"/>
    </w:rPr>
  </w:style>
  <w:style w:type="character" w:customStyle="1" w:styleId="NoSpacingChar">
    <w:name w:val="No Spacing Char"/>
    <w:link w:val="NoSpacing"/>
    <w:uiPriority w:val="1"/>
    <w:rsid w:val="004324E2"/>
    <w:rPr>
      <w:rFonts w:ascii="Calibri" w:eastAsia="MS Mincho" w:hAnsi="Calibri" w:cs="Arial"/>
      <w:sz w:val="22"/>
      <w:szCs w:val="22"/>
      <w:lang w:val="en-US" w:eastAsia="ja-JP"/>
    </w:rPr>
  </w:style>
  <w:style w:type="character" w:customStyle="1" w:styleId="HeaderChar">
    <w:name w:val="Header Char"/>
    <w:link w:val="Header"/>
    <w:uiPriority w:val="99"/>
    <w:rsid w:val="00D0265D"/>
    <w:rPr>
      <w:rFonts w:ascii="Arial" w:hAnsi="Arial" w:cs="Arial"/>
      <w:sz w:val="24"/>
      <w:lang w:eastAsia="en-US"/>
    </w:rPr>
  </w:style>
  <w:style w:type="paragraph" w:styleId="BodyText">
    <w:name w:val="Body Text"/>
    <w:basedOn w:val="Normal"/>
    <w:link w:val="BodyTextChar"/>
    <w:rsid w:val="00986C7C"/>
    <w:pPr>
      <w:spacing w:after="120"/>
    </w:pPr>
  </w:style>
  <w:style w:type="character" w:customStyle="1" w:styleId="BodyTextChar">
    <w:name w:val="Body Text Char"/>
    <w:link w:val="BodyText"/>
    <w:rsid w:val="00986C7C"/>
    <w:rPr>
      <w:rFonts w:ascii="Arial" w:hAnsi="Arial" w:cs="Arial"/>
      <w:sz w:val="24"/>
      <w:lang w:eastAsia="en-US"/>
    </w:rPr>
  </w:style>
  <w:style w:type="paragraph" w:customStyle="1" w:styleId="Body">
    <w:name w:val="Body"/>
    <w:rsid w:val="008F5EC3"/>
    <w:pPr>
      <w:pBdr>
        <w:top w:val="nil"/>
        <w:left w:val="nil"/>
        <w:bottom w:val="nil"/>
        <w:right w:val="nil"/>
        <w:between w:val="nil"/>
        <w:bar w:val="nil"/>
      </w:pBdr>
    </w:pPr>
    <w:rPr>
      <w:rFonts w:eastAsia="Arial Unicode MS" w:cs="Arial Unicode MS"/>
      <w:color w:val="000000"/>
      <w:sz w:val="24"/>
      <w:szCs w:val="24"/>
      <w:u w:color="000000"/>
      <w:bdr w:val="nil"/>
      <w:lang w:val="en-US"/>
    </w:rPr>
  </w:style>
  <w:style w:type="character" w:customStyle="1" w:styleId="Heading1Char">
    <w:name w:val="Heading 1 Char"/>
    <w:link w:val="Heading1"/>
    <w:rsid w:val="008F5EC3"/>
    <w:rPr>
      <w:rFonts w:ascii="Arial" w:hAnsi="Arial" w:cs="Arial"/>
      <w:sz w:val="28"/>
      <w:u w:val="single"/>
      <w:lang w:eastAsia="en-US"/>
    </w:rPr>
  </w:style>
  <w:style w:type="character" w:customStyle="1" w:styleId="Heading2Char">
    <w:name w:val="Heading 2 Char"/>
    <w:link w:val="Heading2"/>
    <w:rsid w:val="008F5EC3"/>
    <w:rPr>
      <w:rFonts w:ascii="Arial" w:hAnsi="Arial" w:cs="Arial"/>
      <w:b/>
      <w:sz w:val="24"/>
      <w:u w:val="single"/>
      <w:lang w:eastAsia="en-US"/>
    </w:rPr>
  </w:style>
  <w:style w:type="character" w:customStyle="1" w:styleId="BodyTextIndentChar">
    <w:name w:val="Body Text Indent Char"/>
    <w:link w:val="BodyTextIndent"/>
    <w:rsid w:val="008F5EC3"/>
    <w:rPr>
      <w:rFonts w:ascii="Arial" w:hAnsi="Arial" w:cs="Arial"/>
      <w:sz w:val="24"/>
      <w:lang w:val="en-US" w:eastAsia="en-US"/>
    </w:rPr>
  </w:style>
  <w:style w:type="numbering" w:customStyle="1" w:styleId="ImportedStyle1">
    <w:name w:val="Imported Style 1"/>
    <w:rsid w:val="001706CF"/>
    <w:pPr>
      <w:numPr>
        <w:numId w:val="2"/>
      </w:numPr>
    </w:pPr>
  </w:style>
  <w:style w:type="numbering" w:customStyle="1" w:styleId="ImportedStyle2">
    <w:name w:val="Imported Style 2"/>
    <w:rsid w:val="001706CF"/>
    <w:pPr>
      <w:numPr>
        <w:numId w:val="3"/>
      </w:numPr>
    </w:pPr>
  </w:style>
  <w:style w:type="paragraph" w:styleId="ListParagraph">
    <w:name w:val="List Paragraph"/>
    <w:qFormat/>
    <w:rsid w:val="001706CF"/>
    <w:pPr>
      <w:pBdr>
        <w:top w:val="nil"/>
        <w:left w:val="nil"/>
        <w:bottom w:val="nil"/>
        <w:right w:val="nil"/>
        <w:between w:val="nil"/>
        <w:bar w:val="nil"/>
      </w:pBdr>
      <w:ind w:left="720"/>
    </w:pPr>
    <w:rPr>
      <w:rFonts w:eastAsia="Arial Unicode MS" w:cs="Arial Unicode MS"/>
      <w:color w:val="000000"/>
      <w:sz w:val="24"/>
      <w:szCs w:val="24"/>
      <w:u w:color="000000"/>
      <w:bdr w:val="nil"/>
      <w:lang w:val="en-US"/>
    </w:rPr>
  </w:style>
  <w:style w:type="numbering" w:customStyle="1" w:styleId="ImportedStyle10">
    <w:name w:val="Imported Style 10"/>
    <w:rsid w:val="001706CF"/>
    <w:pPr>
      <w:numPr>
        <w:numId w:val="4"/>
      </w:numPr>
    </w:pPr>
  </w:style>
  <w:style w:type="numbering" w:customStyle="1" w:styleId="ImportedStyle11">
    <w:name w:val="Imported Style 11"/>
    <w:rsid w:val="001706CF"/>
    <w:pPr>
      <w:numPr>
        <w:numId w:val="5"/>
      </w:numPr>
    </w:pPr>
  </w:style>
  <w:style w:type="numbering" w:customStyle="1" w:styleId="ImportedStyle12">
    <w:name w:val="Imported Style 12"/>
    <w:rsid w:val="001706CF"/>
    <w:pPr>
      <w:numPr>
        <w:numId w:val="6"/>
      </w:numPr>
    </w:pPr>
  </w:style>
  <w:style w:type="numbering" w:customStyle="1" w:styleId="ImportedStyle13">
    <w:name w:val="Imported Style 13"/>
    <w:rsid w:val="001706CF"/>
    <w:pPr>
      <w:numPr>
        <w:numId w:val="7"/>
      </w:numPr>
    </w:pPr>
  </w:style>
  <w:style w:type="character" w:customStyle="1" w:styleId="highlight">
    <w:name w:val="highlight"/>
    <w:rsid w:val="00B722C9"/>
  </w:style>
  <w:style w:type="table" w:customStyle="1" w:styleId="TableGrid1">
    <w:name w:val="Table Grid1"/>
    <w:basedOn w:val="TableNormal"/>
    <w:next w:val="TableGrid"/>
    <w:uiPriority w:val="59"/>
    <w:rsid w:val="004708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666D6"/>
    <w:rPr>
      <w:color w:val="800080"/>
      <w:u w:val="single"/>
    </w:rPr>
  </w:style>
  <w:style w:type="character" w:styleId="CommentReference">
    <w:name w:val="annotation reference"/>
    <w:rsid w:val="00F550F2"/>
    <w:rPr>
      <w:sz w:val="16"/>
      <w:szCs w:val="16"/>
    </w:rPr>
  </w:style>
  <w:style w:type="paragraph" w:styleId="CommentText">
    <w:name w:val="annotation text"/>
    <w:basedOn w:val="Normal"/>
    <w:link w:val="CommentTextChar"/>
    <w:uiPriority w:val="99"/>
    <w:rsid w:val="00F550F2"/>
    <w:rPr>
      <w:sz w:val="20"/>
    </w:rPr>
  </w:style>
  <w:style w:type="character" w:customStyle="1" w:styleId="CommentTextChar">
    <w:name w:val="Comment Text Char"/>
    <w:link w:val="CommentText"/>
    <w:uiPriority w:val="99"/>
    <w:rsid w:val="00F550F2"/>
    <w:rPr>
      <w:rFonts w:ascii="Arial" w:hAnsi="Arial" w:cs="Arial"/>
      <w:lang w:eastAsia="en-US"/>
    </w:rPr>
  </w:style>
  <w:style w:type="paragraph" w:styleId="CommentSubject">
    <w:name w:val="annotation subject"/>
    <w:basedOn w:val="CommentText"/>
    <w:next w:val="CommentText"/>
    <w:link w:val="CommentSubjectChar"/>
    <w:rsid w:val="00F550F2"/>
    <w:rPr>
      <w:b/>
      <w:bCs/>
    </w:rPr>
  </w:style>
  <w:style w:type="character" w:customStyle="1" w:styleId="CommentSubjectChar">
    <w:name w:val="Comment Subject Char"/>
    <w:link w:val="CommentSubject"/>
    <w:rsid w:val="00F550F2"/>
    <w:rPr>
      <w:rFonts w:ascii="Arial" w:hAnsi="Arial" w:cs="Arial"/>
      <w:b/>
      <w:bCs/>
      <w:lang w:eastAsia="en-US"/>
    </w:rPr>
  </w:style>
  <w:style w:type="character" w:styleId="UnresolvedMention">
    <w:name w:val="Unresolved Mention"/>
    <w:uiPriority w:val="99"/>
    <w:unhideWhenUsed/>
    <w:rsid w:val="00933F77"/>
    <w:rPr>
      <w:color w:val="605E5C"/>
      <w:shd w:val="clear" w:color="auto" w:fill="E1DFDD"/>
    </w:rPr>
  </w:style>
  <w:style w:type="paragraph" w:customStyle="1" w:styleId="xmsonormal">
    <w:name w:val="x_msonormal"/>
    <w:basedOn w:val="Normal"/>
    <w:rsid w:val="000B1D6C"/>
    <w:rPr>
      <w:rFonts w:ascii="Calibri" w:eastAsia="Calibri" w:hAnsi="Calibri" w:cs="Calibri"/>
      <w:sz w:val="22"/>
      <w:szCs w:val="22"/>
      <w:lang w:eastAsia="en-GB"/>
    </w:rPr>
  </w:style>
  <w:style w:type="character" w:customStyle="1" w:styleId="normaltextrun">
    <w:name w:val="normaltextrun"/>
    <w:basedOn w:val="DefaultParagraphFont"/>
    <w:rsid w:val="000B1D6C"/>
  </w:style>
  <w:style w:type="character" w:customStyle="1" w:styleId="contextualspellingandgrammarerror">
    <w:name w:val="contextualspellingandgrammarerror"/>
    <w:basedOn w:val="DefaultParagraphFont"/>
    <w:rsid w:val="000B1D6C"/>
  </w:style>
  <w:style w:type="character" w:customStyle="1" w:styleId="eop">
    <w:name w:val="eop"/>
    <w:basedOn w:val="DefaultParagraphFont"/>
    <w:rsid w:val="000B1D6C"/>
  </w:style>
  <w:style w:type="paragraph" w:customStyle="1" w:styleId="card-text">
    <w:name w:val="card-text"/>
    <w:basedOn w:val="Normal"/>
    <w:rsid w:val="00187106"/>
    <w:pPr>
      <w:spacing w:before="100" w:beforeAutospacing="1" w:after="100" w:afterAutospacing="1"/>
    </w:pPr>
    <w:rPr>
      <w:rFonts w:ascii="Times New Roman" w:hAnsi="Times New Roman" w:cs="Times New Roman"/>
      <w:szCs w:val="24"/>
      <w:lang w:eastAsia="en-GB"/>
    </w:rPr>
  </w:style>
  <w:style w:type="paragraph" w:styleId="Revision">
    <w:name w:val="Revision"/>
    <w:hidden/>
    <w:uiPriority w:val="99"/>
    <w:semiHidden/>
    <w:rsid w:val="004F5931"/>
    <w:rPr>
      <w:rFonts w:ascii="Arial" w:hAnsi="Arial" w:cs="Arial"/>
      <w:sz w:val="24"/>
      <w:lang w:eastAsia="en-US"/>
    </w:rPr>
  </w:style>
  <w:style w:type="character" w:styleId="Mention">
    <w:name w:val="Mention"/>
    <w:basedOn w:val="DefaultParagraphFont"/>
    <w:uiPriority w:val="99"/>
    <w:unhideWhenUsed/>
    <w:rsid w:val="00A41CD2"/>
    <w:rPr>
      <w:color w:val="2B579A"/>
      <w:shd w:val="clear" w:color="auto" w:fill="E1DFDD"/>
    </w:rPr>
  </w:style>
  <w:style w:type="paragraph" w:customStyle="1" w:styleId="paragraph">
    <w:name w:val="paragraph"/>
    <w:basedOn w:val="Normal"/>
    <w:rsid w:val="00841F3F"/>
    <w:pPr>
      <w:spacing w:before="100" w:beforeAutospacing="1" w:after="100" w:afterAutospacing="1"/>
    </w:pPr>
    <w:rPr>
      <w:rFonts w:ascii="Times New Roman" w:hAnsi="Times New Roman" w:cs="Times New Roman"/>
      <w:szCs w:val="24"/>
      <w:lang w:eastAsia="en-GB"/>
    </w:rPr>
  </w:style>
  <w:style w:type="character" w:customStyle="1" w:styleId="cf01">
    <w:name w:val="cf01"/>
    <w:basedOn w:val="DefaultParagraphFont"/>
    <w:rsid w:val="0063086E"/>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5375">
      <w:bodyDiv w:val="1"/>
      <w:marLeft w:val="0"/>
      <w:marRight w:val="0"/>
      <w:marTop w:val="0"/>
      <w:marBottom w:val="0"/>
      <w:divBdr>
        <w:top w:val="none" w:sz="0" w:space="0" w:color="auto"/>
        <w:left w:val="none" w:sz="0" w:space="0" w:color="auto"/>
        <w:bottom w:val="none" w:sz="0" w:space="0" w:color="auto"/>
        <w:right w:val="none" w:sz="0" w:space="0" w:color="auto"/>
      </w:divBdr>
    </w:div>
    <w:div w:id="148716627">
      <w:bodyDiv w:val="1"/>
      <w:marLeft w:val="0"/>
      <w:marRight w:val="0"/>
      <w:marTop w:val="0"/>
      <w:marBottom w:val="0"/>
      <w:divBdr>
        <w:top w:val="none" w:sz="0" w:space="0" w:color="auto"/>
        <w:left w:val="none" w:sz="0" w:space="0" w:color="auto"/>
        <w:bottom w:val="none" w:sz="0" w:space="0" w:color="auto"/>
        <w:right w:val="none" w:sz="0" w:space="0" w:color="auto"/>
      </w:divBdr>
    </w:div>
    <w:div w:id="205917578">
      <w:bodyDiv w:val="1"/>
      <w:marLeft w:val="0"/>
      <w:marRight w:val="0"/>
      <w:marTop w:val="0"/>
      <w:marBottom w:val="0"/>
      <w:divBdr>
        <w:top w:val="none" w:sz="0" w:space="0" w:color="auto"/>
        <w:left w:val="none" w:sz="0" w:space="0" w:color="auto"/>
        <w:bottom w:val="none" w:sz="0" w:space="0" w:color="auto"/>
        <w:right w:val="none" w:sz="0" w:space="0" w:color="auto"/>
      </w:divBdr>
    </w:div>
    <w:div w:id="212549139">
      <w:bodyDiv w:val="1"/>
      <w:marLeft w:val="0"/>
      <w:marRight w:val="0"/>
      <w:marTop w:val="0"/>
      <w:marBottom w:val="0"/>
      <w:divBdr>
        <w:top w:val="none" w:sz="0" w:space="0" w:color="auto"/>
        <w:left w:val="none" w:sz="0" w:space="0" w:color="auto"/>
        <w:bottom w:val="none" w:sz="0" w:space="0" w:color="auto"/>
        <w:right w:val="none" w:sz="0" w:space="0" w:color="auto"/>
      </w:divBdr>
    </w:div>
    <w:div w:id="286856751">
      <w:bodyDiv w:val="1"/>
      <w:marLeft w:val="0"/>
      <w:marRight w:val="0"/>
      <w:marTop w:val="0"/>
      <w:marBottom w:val="0"/>
      <w:divBdr>
        <w:top w:val="none" w:sz="0" w:space="0" w:color="auto"/>
        <w:left w:val="none" w:sz="0" w:space="0" w:color="auto"/>
        <w:bottom w:val="none" w:sz="0" w:space="0" w:color="auto"/>
        <w:right w:val="none" w:sz="0" w:space="0" w:color="auto"/>
      </w:divBdr>
    </w:div>
    <w:div w:id="342634356">
      <w:bodyDiv w:val="1"/>
      <w:marLeft w:val="0"/>
      <w:marRight w:val="0"/>
      <w:marTop w:val="0"/>
      <w:marBottom w:val="0"/>
      <w:divBdr>
        <w:top w:val="none" w:sz="0" w:space="0" w:color="auto"/>
        <w:left w:val="none" w:sz="0" w:space="0" w:color="auto"/>
        <w:bottom w:val="none" w:sz="0" w:space="0" w:color="auto"/>
        <w:right w:val="none" w:sz="0" w:space="0" w:color="auto"/>
      </w:divBdr>
    </w:div>
    <w:div w:id="386732491">
      <w:bodyDiv w:val="1"/>
      <w:marLeft w:val="0"/>
      <w:marRight w:val="0"/>
      <w:marTop w:val="0"/>
      <w:marBottom w:val="0"/>
      <w:divBdr>
        <w:top w:val="none" w:sz="0" w:space="0" w:color="auto"/>
        <w:left w:val="none" w:sz="0" w:space="0" w:color="auto"/>
        <w:bottom w:val="none" w:sz="0" w:space="0" w:color="auto"/>
        <w:right w:val="none" w:sz="0" w:space="0" w:color="auto"/>
      </w:divBdr>
    </w:div>
    <w:div w:id="485824543">
      <w:bodyDiv w:val="1"/>
      <w:marLeft w:val="0"/>
      <w:marRight w:val="0"/>
      <w:marTop w:val="0"/>
      <w:marBottom w:val="0"/>
      <w:divBdr>
        <w:top w:val="none" w:sz="0" w:space="0" w:color="auto"/>
        <w:left w:val="none" w:sz="0" w:space="0" w:color="auto"/>
        <w:bottom w:val="none" w:sz="0" w:space="0" w:color="auto"/>
        <w:right w:val="none" w:sz="0" w:space="0" w:color="auto"/>
      </w:divBdr>
      <w:divsChild>
        <w:div w:id="1357728921">
          <w:marLeft w:val="0"/>
          <w:marRight w:val="0"/>
          <w:marTop w:val="570"/>
          <w:marBottom w:val="0"/>
          <w:divBdr>
            <w:top w:val="none" w:sz="0" w:space="0" w:color="auto"/>
            <w:left w:val="none" w:sz="0" w:space="0" w:color="auto"/>
            <w:bottom w:val="none" w:sz="0" w:space="0" w:color="auto"/>
            <w:right w:val="none" w:sz="0" w:space="0" w:color="auto"/>
          </w:divBdr>
          <w:divsChild>
            <w:div w:id="1310092781">
              <w:marLeft w:val="0"/>
              <w:marRight w:val="0"/>
              <w:marTop w:val="0"/>
              <w:marBottom w:val="0"/>
              <w:divBdr>
                <w:top w:val="none" w:sz="0" w:space="0" w:color="auto"/>
                <w:left w:val="none" w:sz="0" w:space="0" w:color="auto"/>
                <w:bottom w:val="none" w:sz="0" w:space="0" w:color="auto"/>
                <w:right w:val="none" w:sz="0" w:space="0" w:color="auto"/>
              </w:divBdr>
              <w:divsChild>
                <w:div w:id="77548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52540">
      <w:bodyDiv w:val="1"/>
      <w:marLeft w:val="0"/>
      <w:marRight w:val="0"/>
      <w:marTop w:val="0"/>
      <w:marBottom w:val="0"/>
      <w:divBdr>
        <w:top w:val="none" w:sz="0" w:space="0" w:color="auto"/>
        <w:left w:val="none" w:sz="0" w:space="0" w:color="auto"/>
        <w:bottom w:val="none" w:sz="0" w:space="0" w:color="auto"/>
        <w:right w:val="none" w:sz="0" w:space="0" w:color="auto"/>
      </w:divBdr>
    </w:div>
    <w:div w:id="608699758">
      <w:bodyDiv w:val="1"/>
      <w:marLeft w:val="0"/>
      <w:marRight w:val="0"/>
      <w:marTop w:val="0"/>
      <w:marBottom w:val="0"/>
      <w:divBdr>
        <w:top w:val="none" w:sz="0" w:space="0" w:color="auto"/>
        <w:left w:val="none" w:sz="0" w:space="0" w:color="auto"/>
        <w:bottom w:val="none" w:sz="0" w:space="0" w:color="auto"/>
        <w:right w:val="none" w:sz="0" w:space="0" w:color="auto"/>
      </w:divBdr>
    </w:div>
    <w:div w:id="618608979">
      <w:bodyDiv w:val="1"/>
      <w:marLeft w:val="0"/>
      <w:marRight w:val="0"/>
      <w:marTop w:val="0"/>
      <w:marBottom w:val="0"/>
      <w:divBdr>
        <w:top w:val="none" w:sz="0" w:space="0" w:color="auto"/>
        <w:left w:val="none" w:sz="0" w:space="0" w:color="auto"/>
        <w:bottom w:val="none" w:sz="0" w:space="0" w:color="auto"/>
        <w:right w:val="none" w:sz="0" w:space="0" w:color="auto"/>
      </w:divBdr>
    </w:div>
    <w:div w:id="620697208">
      <w:bodyDiv w:val="1"/>
      <w:marLeft w:val="0"/>
      <w:marRight w:val="0"/>
      <w:marTop w:val="0"/>
      <w:marBottom w:val="0"/>
      <w:divBdr>
        <w:top w:val="none" w:sz="0" w:space="0" w:color="auto"/>
        <w:left w:val="none" w:sz="0" w:space="0" w:color="auto"/>
        <w:bottom w:val="none" w:sz="0" w:space="0" w:color="auto"/>
        <w:right w:val="none" w:sz="0" w:space="0" w:color="auto"/>
      </w:divBdr>
      <w:divsChild>
        <w:div w:id="500395430">
          <w:marLeft w:val="0"/>
          <w:marRight w:val="0"/>
          <w:marTop w:val="0"/>
          <w:marBottom w:val="0"/>
          <w:divBdr>
            <w:top w:val="none" w:sz="0" w:space="0" w:color="auto"/>
            <w:left w:val="none" w:sz="0" w:space="0" w:color="auto"/>
            <w:bottom w:val="none" w:sz="0" w:space="0" w:color="auto"/>
            <w:right w:val="none" w:sz="0" w:space="0" w:color="auto"/>
          </w:divBdr>
        </w:div>
        <w:div w:id="1051079711">
          <w:marLeft w:val="0"/>
          <w:marRight w:val="0"/>
          <w:marTop w:val="0"/>
          <w:marBottom w:val="0"/>
          <w:divBdr>
            <w:top w:val="none" w:sz="0" w:space="0" w:color="auto"/>
            <w:left w:val="none" w:sz="0" w:space="0" w:color="auto"/>
            <w:bottom w:val="none" w:sz="0" w:space="0" w:color="auto"/>
            <w:right w:val="none" w:sz="0" w:space="0" w:color="auto"/>
          </w:divBdr>
        </w:div>
      </w:divsChild>
    </w:div>
    <w:div w:id="749160066">
      <w:bodyDiv w:val="1"/>
      <w:marLeft w:val="0"/>
      <w:marRight w:val="0"/>
      <w:marTop w:val="0"/>
      <w:marBottom w:val="0"/>
      <w:divBdr>
        <w:top w:val="none" w:sz="0" w:space="0" w:color="auto"/>
        <w:left w:val="none" w:sz="0" w:space="0" w:color="auto"/>
        <w:bottom w:val="none" w:sz="0" w:space="0" w:color="auto"/>
        <w:right w:val="none" w:sz="0" w:space="0" w:color="auto"/>
      </w:divBdr>
    </w:div>
    <w:div w:id="822819615">
      <w:bodyDiv w:val="1"/>
      <w:marLeft w:val="0"/>
      <w:marRight w:val="0"/>
      <w:marTop w:val="0"/>
      <w:marBottom w:val="0"/>
      <w:divBdr>
        <w:top w:val="none" w:sz="0" w:space="0" w:color="auto"/>
        <w:left w:val="none" w:sz="0" w:space="0" w:color="auto"/>
        <w:bottom w:val="none" w:sz="0" w:space="0" w:color="auto"/>
        <w:right w:val="none" w:sz="0" w:space="0" w:color="auto"/>
      </w:divBdr>
    </w:div>
    <w:div w:id="924995496">
      <w:bodyDiv w:val="1"/>
      <w:marLeft w:val="0"/>
      <w:marRight w:val="0"/>
      <w:marTop w:val="0"/>
      <w:marBottom w:val="0"/>
      <w:divBdr>
        <w:top w:val="none" w:sz="0" w:space="0" w:color="auto"/>
        <w:left w:val="none" w:sz="0" w:space="0" w:color="auto"/>
        <w:bottom w:val="none" w:sz="0" w:space="0" w:color="auto"/>
        <w:right w:val="none" w:sz="0" w:space="0" w:color="auto"/>
      </w:divBdr>
      <w:divsChild>
        <w:div w:id="1348019337">
          <w:marLeft w:val="0"/>
          <w:marRight w:val="0"/>
          <w:marTop w:val="0"/>
          <w:marBottom w:val="0"/>
          <w:divBdr>
            <w:top w:val="none" w:sz="0" w:space="0" w:color="auto"/>
            <w:left w:val="none" w:sz="0" w:space="0" w:color="auto"/>
            <w:bottom w:val="none" w:sz="0" w:space="0" w:color="auto"/>
            <w:right w:val="none" w:sz="0" w:space="0" w:color="auto"/>
          </w:divBdr>
          <w:divsChild>
            <w:div w:id="152454091">
              <w:marLeft w:val="0"/>
              <w:marRight w:val="0"/>
              <w:marTop w:val="210"/>
              <w:marBottom w:val="0"/>
              <w:divBdr>
                <w:top w:val="none" w:sz="0" w:space="0" w:color="auto"/>
                <w:left w:val="none" w:sz="0" w:space="0" w:color="auto"/>
                <w:bottom w:val="none" w:sz="0" w:space="0" w:color="auto"/>
                <w:right w:val="none" w:sz="0" w:space="0" w:color="auto"/>
              </w:divBdr>
              <w:divsChild>
                <w:div w:id="441415658">
                  <w:marLeft w:val="0"/>
                  <w:marRight w:val="0"/>
                  <w:marTop w:val="0"/>
                  <w:marBottom w:val="0"/>
                  <w:divBdr>
                    <w:top w:val="none" w:sz="0" w:space="0" w:color="auto"/>
                    <w:left w:val="none" w:sz="0" w:space="0" w:color="auto"/>
                    <w:bottom w:val="none" w:sz="0" w:space="0" w:color="auto"/>
                    <w:right w:val="none" w:sz="0" w:space="0" w:color="auto"/>
                  </w:divBdr>
                  <w:divsChild>
                    <w:div w:id="2042776665">
                      <w:marLeft w:val="0"/>
                      <w:marRight w:val="0"/>
                      <w:marTop w:val="0"/>
                      <w:marBottom w:val="0"/>
                      <w:divBdr>
                        <w:top w:val="none" w:sz="0" w:space="0" w:color="auto"/>
                        <w:left w:val="none" w:sz="0" w:space="0" w:color="auto"/>
                        <w:bottom w:val="none" w:sz="0" w:space="0" w:color="auto"/>
                        <w:right w:val="none" w:sz="0" w:space="0" w:color="auto"/>
                      </w:divBdr>
                      <w:divsChild>
                        <w:div w:id="235482228">
                          <w:marLeft w:val="0"/>
                          <w:marRight w:val="0"/>
                          <w:marTop w:val="0"/>
                          <w:marBottom w:val="0"/>
                          <w:divBdr>
                            <w:top w:val="none" w:sz="0" w:space="0" w:color="auto"/>
                            <w:left w:val="none" w:sz="0" w:space="0" w:color="auto"/>
                            <w:bottom w:val="none" w:sz="0" w:space="0" w:color="auto"/>
                            <w:right w:val="none" w:sz="0" w:space="0" w:color="auto"/>
                          </w:divBdr>
                          <w:divsChild>
                            <w:div w:id="20655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3712283">
      <w:bodyDiv w:val="1"/>
      <w:marLeft w:val="0"/>
      <w:marRight w:val="0"/>
      <w:marTop w:val="0"/>
      <w:marBottom w:val="0"/>
      <w:divBdr>
        <w:top w:val="none" w:sz="0" w:space="0" w:color="auto"/>
        <w:left w:val="none" w:sz="0" w:space="0" w:color="auto"/>
        <w:bottom w:val="none" w:sz="0" w:space="0" w:color="auto"/>
        <w:right w:val="none" w:sz="0" w:space="0" w:color="auto"/>
      </w:divBdr>
    </w:div>
    <w:div w:id="1249735705">
      <w:bodyDiv w:val="1"/>
      <w:marLeft w:val="0"/>
      <w:marRight w:val="0"/>
      <w:marTop w:val="0"/>
      <w:marBottom w:val="0"/>
      <w:divBdr>
        <w:top w:val="none" w:sz="0" w:space="0" w:color="auto"/>
        <w:left w:val="none" w:sz="0" w:space="0" w:color="auto"/>
        <w:bottom w:val="none" w:sz="0" w:space="0" w:color="auto"/>
        <w:right w:val="none" w:sz="0" w:space="0" w:color="auto"/>
      </w:divBdr>
    </w:div>
    <w:div w:id="1313288814">
      <w:bodyDiv w:val="1"/>
      <w:marLeft w:val="0"/>
      <w:marRight w:val="0"/>
      <w:marTop w:val="0"/>
      <w:marBottom w:val="0"/>
      <w:divBdr>
        <w:top w:val="none" w:sz="0" w:space="0" w:color="auto"/>
        <w:left w:val="none" w:sz="0" w:space="0" w:color="auto"/>
        <w:bottom w:val="none" w:sz="0" w:space="0" w:color="auto"/>
        <w:right w:val="none" w:sz="0" w:space="0" w:color="auto"/>
      </w:divBdr>
    </w:div>
    <w:div w:id="1363897143">
      <w:bodyDiv w:val="1"/>
      <w:marLeft w:val="0"/>
      <w:marRight w:val="0"/>
      <w:marTop w:val="0"/>
      <w:marBottom w:val="0"/>
      <w:divBdr>
        <w:top w:val="none" w:sz="0" w:space="0" w:color="auto"/>
        <w:left w:val="none" w:sz="0" w:space="0" w:color="auto"/>
        <w:bottom w:val="none" w:sz="0" w:space="0" w:color="auto"/>
        <w:right w:val="none" w:sz="0" w:space="0" w:color="auto"/>
      </w:divBdr>
    </w:div>
    <w:div w:id="1475873060">
      <w:bodyDiv w:val="1"/>
      <w:marLeft w:val="0"/>
      <w:marRight w:val="0"/>
      <w:marTop w:val="0"/>
      <w:marBottom w:val="0"/>
      <w:divBdr>
        <w:top w:val="none" w:sz="0" w:space="0" w:color="auto"/>
        <w:left w:val="none" w:sz="0" w:space="0" w:color="auto"/>
        <w:bottom w:val="none" w:sz="0" w:space="0" w:color="auto"/>
        <w:right w:val="none" w:sz="0" w:space="0" w:color="auto"/>
      </w:divBdr>
    </w:div>
    <w:div w:id="1482842919">
      <w:bodyDiv w:val="1"/>
      <w:marLeft w:val="0"/>
      <w:marRight w:val="0"/>
      <w:marTop w:val="0"/>
      <w:marBottom w:val="0"/>
      <w:divBdr>
        <w:top w:val="none" w:sz="0" w:space="0" w:color="auto"/>
        <w:left w:val="none" w:sz="0" w:space="0" w:color="auto"/>
        <w:bottom w:val="none" w:sz="0" w:space="0" w:color="auto"/>
        <w:right w:val="none" w:sz="0" w:space="0" w:color="auto"/>
      </w:divBdr>
    </w:div>
    <w:div w:id="1498765439">
      <w:bodyDiv w:val="1"/>
      <w:marLeft w:val="0"/>
      <w:marRight w:val="0"/>
      <w:marTop w:val="0"/>
      <w:marBottom w:val="0"/>
      <w:divBdr>
        <w:top w:val="none" w:sz="0" w:space="0" w:color="auto"/>
        <w:left w:val="none" w:sz="0" w:space="0" w:color="auto"/>
        <w:bottom w:val="none" w:sz="0" w:space="0" w:color="auto"/>
        <w:right w:val="none" w:sz="0" w:space="0" w:color="auto"/>
      </w:divBdr>
    </w:div>
    <w:div w:id="1604722884">
      <w:bodyDiv w:val="1"/>
      <w:marLeft w:val="0"/>
      <w:marRight w:val="0"/>
      <w:marTop w:val="0"/>
      <w:marBottom w:val="0"/>
      <w:divBdr>
        <w:top w:val="none" w:sz="0" w:space="0" w:color="auto"/>
        <w:left w:val="none" w:sz="0" w:space="0" w:color="auto"/>
        <w:bottom w:val="none" w:sz="0" w:space="0" w:color="auto"/>
        <w:right w:val="none" w:sz="0" w:space="0" w:color="auto"/>
      </w:divBdr>
      <w:divsChild>
        <w:div w:id="736559533">
          <w:marLeft w:val="0"/>
          <w:marRight w:val="0"/>
          <w:marTop w:val="0"/>
          <w:marBottom w:val="0"/>
          <w:divBdr>
            <w:top w:val="none" w:sz="0" w:space="0" w:color="auto"/>
            <w:left w:val="none" w:sz="0" w:space="0" w:color="auto"/>
            <w:bottom w:val="none" w:sz="0" w:space="0" w:color="auto"/>
            <w:right w:val="none" w:sz="0" w:space="0" w:color="auto"/>
          </w:divBdr>
          <w:divsChild>
            <w:div w:id="440997100">
              <w:marLeft w:val="0"/>
              <w:marRight w:val="0"/>
              <w:marTop w:val="0"/>
              <w:marBottom w:val="0"/>
              <w:divBdr>
                <w:top w:val="none" w:sz="0" w:space="0" w:color="auto"/>
                <w:left w:val="none" w:sz="0" w:space="0" w:color="auto"/>
                <w:bottom w:val="none" w:sz="0" w:space="0" w:color="auto"/>
                <w:right w:val="none" w:sz="0" w:space="0" w:color="auto"/>
              </w:divBdr>
              <w:divsChild>
                <w:div w:id="1956643390">
                  <w:marLeft w:val="0"/>
                  <w:marRight w:val="0"/>
                  <w:marTop w:val="0"/>
                  <w:marBottom w:val="0"/>
                  <w:divBdr>
                    <w:top w:val="none" w:sz="0" w:space="0" w:color="auto"/>
                    <w:left w:val="none" w:sz="0" w:space="0" w:color="auto"/>
                    <w:bottom w:val="none" w:sz="0" w:space="0" w:color="auto"/>
                    <w:right w:val="none" w:sz="0" w:space="0" w:color="auto"/>
                  </w:divBdr>
                  <w:divsChild>
                    <w:div w:id="1531608186">
                      <w:marLeft w:val="0"/>
                      <w:marRight w:val="0"/>
                      <w:marTop w:val="0"/>
                      <w:marBottom w:val="0"/>
                      <w:divBdr>
                        <w:top w:val="none" w:sz="0" w:space="0" w:color="auto"/>
                        <w:left w:val="none" w:sz="0" w:space="0" w:color="auto"/>
                        <w:bottom w:val="none" w:sz="0" w:space="0" w:color="auto"/>
                        <w:right w:val="none" w:sz="0" w:space="0" w:color="auto"/>
                      </w:divBdr>
                      <w:divsChild>
                        <w:div w:id="1920602856">
                          <w:marLeft w:val="0"/>
                          <w:marRight w:val="0"/>
                          <w:marTop w:val="0"/>
                          <w:marBottom w:val="0"/>
                          <w:divBdr>
                            <w:top w:val="none" w:sz="0" w:space="0" w:color="auto"/>
                            <w:left w:val="none" w:sz="0" w:space="0" w:color="auto"/>
                            <w:bottom w:val="none" w:sz="0" w:space="0" w:color="auto"/>
                            <w:right w:val="none" w:sz="0" w:space="0" w:color="auto"/>
                          </w:divBdr>
                          <w:divsChild>
                            <w:div w:id="1287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0667636">
      <w:bodyDiv w:val="1"/>
      <w:marLeft w:val="0"/>
      <w:marRight w:val="0"/>
      <w:marTop w:val="0"/>
      <w:marBottom w:val="0"/>
      <w:divBdr>
        <w:top w:val="none" w:sz="0" w:space="0" w:color="auto"/>
        <w:left w:val="none" w:sz="0" w:space="0" w:color="auto"/>
        <w:bottom w:val="none" w:sz="0" w:space="0" w:color="auto"/>
        <w:right w:val="none" w:sz="0" w:space="0" w:color="auto"/>
      </w:divBdr>
    </w:div>
    <w:div w:id="1741712374">
      <w:bodyDiv w:val="1"/>
      <w:marLeft w:val="0"/>
      <w:marRight w:val="0"/>
      <w:marTop w:val="0"/>
      <w:marBottom w:val="0"/>
      <w:divBdr>
        <w:top w:val="none" w:sz="0" w:space="0" w:color="auto"/>
        <w:left w:val="none" w:sz="0" w:space="0" w:color="auto"/>
        <w:bottom w:val="none" w:sz="0" w:space="0" w:color="auto"/>
        <w:right w:val="none" w:sz="0" w:space="0" w:color="auto"/>
      </w:divBdr>
    </w:div>
    <w:div w:id="1794400201">
      <w:bodyDiv w:val="1"/>
      <w:marLeft w:val="0"/>
      <w:marRight w:val="0"/>
      <w:marTop w:val="0"/>
      <w:marBottom w:val="0"/>
      <w:divBdr>
        <w:top w:val="none" w:sz="0" w:space="0" w:color="auto"/>
        <w:left w:val="none" w:sz="0" w:space="0" w:color="auto"/>
        <w:bottom w:val="none" w:sz="0" w:space="0" w:color="auto"/>
        <w:right w:val="none" w:sz="0" w:space="0" w:color="auto"/>
      </w:divBdr>
    </w:div>
    <w:div w:id="1829251147">
      <w:bodyDiv w:val="1"/>
      <w:marLeft w:val="0"/>
      <w:marRight w:val="0"/>
      <w:marTop w:val="0"/>
      <w:marBottom w:val="0"/>
      <w:divBdr>
        <w:top w:val="none" w:sz="0" w:space="0" w:color="auto"/>
        <w:left w:val="none" w:sz="0" w:space="0" w:color="auto"/>
        <w:bottom w:val="none" w:sz="0" w:space="0" w:color="auto"/>
        <w:right w:val="none" w:sz="0" w:space="0" w:color="auto"/>
      </w:divBdr>
    </w:div>
    <w:div w:id="1908488832">
      <w:bodyDiv w:val="1"/>
      <w:marLeft w:val="0"/>
      <w:marRight w:val="0"/>
      <w:marTop w:val="0"/>
      <w:marBottom w:val="0"/>
      <w:divBdr>
        <w:top w:val="none" w:sz="0" w:space="0" w:color="auto"/>
        <w:left w:val="none" w:sz="0" w:space="0" w:color="auto"/>
        <w:bottom w:val="none" w:sz="0" w:space="0" w:color="auto"/>
        <w:right w:val="none" w:sz="0" w:space="0" w:color="auto"/>
      </w:divBdr>
    </w:div>
    <w:div w:id="2068604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acherspensions.co.uk/-/media/documents/employer/factsheets/who-is-eligible-to-join-the-scheme---employer-factsheet.ashx?rev=252aa55a893843d19de6a1146738d386&amp;hash=4936CE0B6E1F8CB333AEFED0B1B71A2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school-teachers-pay-and-condition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acherspensions.co.uk/employers/managing-members/contributions/non-pensionable-pa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E37F6EE795EA43B23CB79A196A82E4" ma:contentTypeVersion="8" ma:contentTypeDescription="Create a new document." ma:contentTypeScope="" ma:versionID="c81bcfee7bf8f612b2be074e6f98a21f">
  <xsd:schema xmlns:xsd="http://www.w3.org/2001/XMLSchema" xmlns:xs="http://www.w3.org/2001/XMLSchema" xmlns:p="http://schemas.microsoft.com/office/2006/metadata/properties" xmlns:ns2="aca10c3e-6aa4-444b-b503-323e49edca04" xmlns:ns3="2ab41fc7-790c-48de-bc7a-48d948da2b96" targetNamespace="http://schemas.microsoft.com/office/2006/metadata/properties" ma:root="true" ma:fieldsID="273875f0d2deaacf81a06b04481821f9" ns2:_="" ns3:_="">
    <xsd:import namespace="aca10c3e-6aa4-444b-b503-323e49edca04"/>
    <xsd:import namespace="2ab41fc7-790c-48de-bc7a-48d948da2b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10c3e-6aa4-444b-b503-323e49edca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b41fc7-790c-48de-bc7a-48d948da2b9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1D323-2628-480F-80FA-7CA3B390A62D}">
  <ds:schemaRefs>
    <ds:schemaRef ds:uri="http://schemas.microsoft.com/sharepoint/v3/contenttype/forms"/>
  </ds:schemaRefs>
</ds:datastoreItem>
</file>

<file path=customXml/itemProps2.xml><?xml version="1.0" encoding="utf-8"?>
<ds:datastoreItem xmlns:ds="http://schemas.openxmlformats.org/officeDocument/2006/customXml" ds:itemID="{3F7E7128-74DC-4267-A3E9-44B3C78A0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10c3e-6aa4-444b-b503-323e49edca04"/>
    <ds:schemaRef ds:uri="2ab41fc7-790c-48de-bc7a-48d948da2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59795C-855D-4D97-8873-F1CD72D2EAD4}">
  <ds:schemaRefs>
    <ds:schemaRef ds:uri="http://schemas.microsoft.com/office/2006/documentManagement/types"/>
    <ds:schemaRef ds:uri="2ab41fc7-790c-48de-bc7a-48d948da2b96"/>
    <ds:schemaRef ds:uri="http://purl.org/dc/dcmitype/"/>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aca10c3e-6aa4-444b-b503-323e49edca04"/>
    <ds:schemaRef ds:uri="http://www.w3.org/XML/1998/namespace"/>
    <ds:schemaRef ds:uri="http://purl.org/dc/terms/"/>
  </ds:schemaRefs>
</ds:datastoreItem>
</file>

<file path=customXml/itemProps4.xml><?xml version="1.0" encoding="utf-8"?>
<ds:datastoreItem xmlns:ds="http://schemas.openxmlformats.org/officeDocument/2006/customXml" ds:itemID="{5E4D47AF-2529-47E2-9981-71EF5C1A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33</Pages>
  <Words>9443</Words>
  <Characters>51221</Characters>
  <Application>Microsoft Office Word</Application>
  <DocSecurity>0</DocSecurity>
  <Lines>426</Lines>
  <Paragraphs>121</Paragraphs>
  <ScaleCrop>false</ScaleCrop>
  <HeadingPairs>
    <vt:vector size="2" baseType="variant">
      <vt:variant>
        <vt:lpstr>Title</vt:lpstr>
      </vt:variant>
      <vt:variant>
        <vt:i4>1</vt:i4>
      </vt:variant>
    </vt:vector>
  </HeadingPairs>
  <TitlesOfParts>
    <vt:vector size="1" baseType="lpstr">
      <vt:lpstr/>
    </vt:vector>
  </TitlesOfParts>
  <Company>Together for Children: Annual Leave Guidance</Company>
  <LinksUpToDate>false</LinksUpToDate>
  <CharactersWithSpaces>60543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tracy.palmer</dc:creator>
  <cp:keywords/>
  <cp:lastModifiedBy>Natalie Headen</cp:lastModifiedBy>
  <cp:revision>3</cp:revision>
  <cp:lastPrinted>2022-10-18T17:06:00Z</cp:lastPrinted>
  <dcterms:created xsi:type="dcterms:W3CDTF">2025-11-17T13:47:00Z</dcterms:created>
  <dcterms:modified xsi:type="dcterms:W3CDTF">2025-11-17T13:48:00Z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0x01010075E37F6EE795EA43B23CB79A196A82E4</vt:lpwstr>
  </property>
  <property fmtid="{D5CDD505-2E9C-101B-9397-08002B2CF9AE}" pid="4" name="MSIP_Label_defa4170-0d19-0005-0004-bc88714345d2_Enabled">
    <vt:lpwstr>true</vt:lpwstr>
  </property>
  <property fmtid="{D5CDD505-2E9C-101B-9397-08002B2CF9AE}" pid="5" name="MSIP_Label_defa4170-0d19-0005-0004-bc88714345d2_SetDate">
    <vt:lpwstr>2025-11-17T13:47:56Z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28524b85-2970-44c4-ae69-4fd57392f16f</vt:lpwstr>
  </property>
  <property fmtid="{D5CDD505-2E9C-101B-9397-08002B2CF9AE}" pid="9" name="MSIP_Label_defa4170-0d19-0005-0004-bc88714345d2_ActionId">
    <vt:lpwstr>e298f1fa-755c-4ef4-b3ee-a2dede3ea413</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